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AC0B9">
      <w:pPr>
        <w:pStyle w:val="2"/>
        <w:pageBreakBefore w:val="0"/>
        <w:kinsoku/>
        <w:overflowPunct/>
        <w:bidi w:val="0"/>
        <w:spacing w:before="0" w:beforeLines="0" w:beforeAutospacing="0" w:after="0" w:afterLines="0" w:afterAutospacing="0" w:line="360" w:lineRule="auto"/>
        <w:ind w:left="0" w:leftChars="0" w:right="0" w:rightChars="0"/>
        <w:rPr>
          <w:rFonts w:hint="default" w:eastAsia="宋体"/>
          <w:highlight w:val="none"/>
          <w:lang w:val="en-US" w:eastAsia="zh-CN"/>
        </w:rPr>
      </w:pPr>
      <w:bookmarkStart w:id="0" w:name="_Toc422670761"/>
      <w:bookmarkStart w:id="1" w:name="_Toc422670886"/>
      <w:bookmarkStart w:id="2" w:name="_Toc7431"/>
      <w:bookmarkStart w:id="3" w:name="_Toc23184"/>
      <w:bookmarkStart w:id="4" w:name="_Toc422670642"/>
      <w:bookmarkStart w:id="5" w:name="_Toc25506"/>
      <w:bookmarkStart w:id="6" w:name="_Toc422670647"/>
      <w:bookmarkStart w:id="7" w:name="_Toc965"/>
      <w:bookmarkStart w:id="8" w:name="_Toc422670766"/>
      <w:bookmarkStart w:id="9" w:name="_Toc422670891"/>
      <w:r>
        <w:rPr>
          <w:rFonts w:hint="eastAsia"/>
          <w:highlight w:val="none"/>
        </w:rPr>
        <w:t>1</w:t>
      </w:r>
      <w:r>
        <w:rPr>
          <w:rFonts w:hint="eastAsia"/>
          <w:highlight w:val="none"/>
          <w:lang w:eastAsia="zh-CN"/>
        </w:rPr>
        <w:t>、</w:t>
      </w:r>
      <w:bookmarkEnd w:id="0"/>
      <w:bookmarkEnd w:id="1"/>
      <w:bookmarkEnd w:id="2"/>
      <w:bookmarkEnd w:id="3"/>
      <w:bookmarkEnd w:id="4"/>
      <w:r>
        <w:rPr>
          <w:rFonts w:hint="eastAsia"/>
          <w:highlight w:val="none"/>
          <w:lang w:val="en-US" w:eastAsia="zh-CN"/>
        </w:rPr>
        <w:t>工程概况</w:t>
      </w:r>
    </w:p>
    <w:p w14:paraId="74B9EDB2">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宋体" w:hAnsi="宋体" w:eastAsia="宋体" w:cs="宋体"/>
          <w:sz w:val="24"/>
          <w:szCs w:val="24"/>
          <w:highlight w:val="yellow"/>
        </w:rPr>
      </w:pPr>
      <w:r>
        <w:rPr>
          <w:rFonts w:ascii="宋体" w:hAnsi="宋体" w:eastAsia="宋体" w:cs="宋体"/>
          <w:sz w:val="24"/>
          <w:szCs w:val="24"/>
          <w:highlight w:val="yellow"/>
        </w:rPr>
        <w:t>海南省文昌市正商红椰湾四、五期项目间市政规划道路项目起点与规划滨湾路相交，路线自西南向东北，终点与规划环桥头公园路相交，道路设计总长约为517.5米；道路红线宽度12米。设计车速20Km/h。</w:t>
      </w:r>
    </w:p>
    <w:p w14:paraId="1A909A2A">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Theme="minorEastAsia"/>
          <w:spacing w:val="8"/>
          <w:sz w:val="24"/>
          <w:highlight w:val="none"/>
          <w:lang w:eastAsia="zh-CN"/>
        </w:rPr>
      </w:pPr>
      <w:r>
        <w:rPr>
          <w:rFonts w:ascii="宋体" w:hAnsi="宋体"/>
          <w:spacing w:val="8"/>
          <w:sz w:val="24"/>
          <w:highlight w:val="none"/>
        </w:rPr>
        <w:t>主要</w:t>
      </w:r>
      <w:r>
        <w:rPr>
          <w:rFonts w:hint="eastAsia" w:ascii="宋体" w:hAnsi="宋体"/>
          <w:spacing w:val="8"/>
          <w:sz w:val="24"/>
          <w:highlight w:val="none"/>
        </w:rPr>
        <w:t>设计</w:t>
      </w:r>
      <w:r>
        <w:rPr>
          <w:rFonts w:ascii="宋体" w:hAnsi="宋体"/>
          <w:spacing w:val="8"/>
          <w:sz w:val="24"/>
          <w:highlight w:val="none"/>
        </w:rPr>
        <w:t>内容包括：</w:t>
      </w:r>
      <w:r>
        <w:rPr>
          <w:rFonts w:hint="eastAsia" w:ascii="宋体" w:hAnsi="宋体"/>
          <w:spacing w:val="8"/>
          <w:sz w:val="24"/>
          <w:highlight w:val="none"/>
        </w:rPr>
        <w:t>道路工程、给排水工程、交通工程、</w:t>
      </w:r>
      <w:r>
        <w:rPr>
          <w:sz w:val="24"/>
          <w:szCs w:val="24"/>
          <w:highlight w:val="none"/>
        </w:rPr>
        <w:t>电力</w:t>
      </w:r>
      <w:r>
        <w:rPr>
          <w:rFonts w:hint="eastAsia"/>
          <w:sz w:val="24"/>
          <w:szCs w:val="24"/>
          <w:highlight w:val="none"/>
        </w:rPr>
        <w:t>通</w:t>
      </w:r>
      <w:r>
        <w:rPr>
          <w:sz w:val="24"/>
          <w:szCs w:val="24"/>
          <w:highlight w:val="none"/>
        </w:rPr>
        <w:t>信工程、</w:t>
      </w:r>
      <w:r>
        <w:rPr>
          <w:rFonts w:hint="eastAsia"/>
          <w:sz w:val="24"/>
          <w:szCs w:val="24"/>
          <w:highlight w:val="none"/>
        </w:rPr>
        <w:t>照明工程、</w:t>
      </w:r>
      <w:r>
        <w:rPr>
          <w:rFonts w:hint="eastAsia" w:ascii="宋体" w:hAnsi="宋体"/>
          <w:spacing w:val="8"/>
          <w:sz w:val="24"/>
          <w:highlight w:val="none"/>
        </w:rPr>
        <w:t>绿化工程</w:t>
      </w:r>
      <w:r>
        <w:rPr>
          <w:rFonts w:hint="eastAsia" w:ascii="宋体" w:hAnsi="宋体"/>
          <w:spacing w:val="8"/>
          <w:sz w:val="24"/>
          <w:highlight w:val="none"/>
          <w:lang w:eastAsia="zh-CN"/>
        </w:rPr>
        <w:t>。</w:t>
      </w:r>
    </w:p>
    <w:p w14:paraId="70136993">
      <w:pPr>
        <w:pStyle w:val="2"/>
        <w:pageBreakBefore w:val="0"/>
        <w:kinsoku/>
        <w:overflowPunct/>
        <w:bidi w:val="0"/>
        <w:spacing w:before="0" w:beforeLines="0" w:beforeAutospacing="0" w:after="0" w:afterLines="0" w:afterAutospacing="0" w:line="360" w:lineRule="auto"/>
        <w:ind w:left="0" w:leftChars="0" w:right="0" w:rightChars="0"/>
        <w:rPr>
          <w:rFonts w:hint="eastAsia"/>
          <w:highlight w:val="none"/>
          <w:lang w:val="en-US" w:eastAsia="zh-CN"/>
        </w:rPr>
      </w:pPr>
      <w:r>
        <w:rPr>
          <w:rFonts w:hint="eastAsia"/>
          <w:highlight w:val="none"/>
          <w:lang w:val="en-US" w:eastAsia="zh-CN"/>
        </w:rPr>
        <w:t>2、设计依据</w:t>
      </w:r>
    </w:p>
    <w:p w14:paraId="2B6C54CB">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rPr>
      </w:pPr>
      <w:r>
        <w:rPr>
          <w:rFonts w:hint="eastAsia" w:ascii="宋体"/>
          <w:color w:val="auto"/>
          <w:sz w:val="24"/>
          <w:szCs w:val="24"/>
          <w:highlight w:val="none"/>
        </w:rPr>
        <w:t>《20kV及以下变电所设计规范》GB50053-2013</w:t>
      </w:r>
      <w:r>
        <w:rPr>
          <w:rFonts w:hint="eastAsia"/>
          <w:color w:val="auto"/>
          <w:sz w:val="24"/>
          <w:szCs w:val="24"/>
          <w:highlight w:val="none"/>
          <w:lang w:eastAsia="zh-CN"/>
        </w:rPr>
        <w:t>；</w:t>
      </w:r>
    </w:p>
    <w:p w14:paraId="7A10D5AA">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rPr>
      </w:pPr>
      <w:r>
        <w:rPr>
          <w:rFonts w:hint="eastAsia" w:ascii="宋体"/>
          <w:color w:val="auto"/>
          <w:sz w:val="24"/>
          <w:szCs w:val="24"/>
          <w:highlight w:val="none"/>
        </w:rPr>
        <w:t>《城市工程管线综合规划规范》（GB50289-2016）；</w:t>
      </w:r>
    </w:p>
    <w:p w14:paraId="755E0BF1">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rPr>
      </w:pPr>
      <w:r>
        <w:rPr>
          <w:rFonts w:hint="eastAsia" w:ascii="宋体"/>
          <w:color w:val="auto"/>
          <w:sz w:val="24"/>
          <w:szCs w:val="24"/>
          <w:highlight w:val="none"/>
        </w:rPr>
        <w:t>《供配电系统设计规范》（GB50052-20</w:t>
      </w:r>
      <w:r>
        <w:rPr>
          <w:rFonts w:hint="eastAsia" w:ascii="宋体"/>
          <w:color w:val="auto"/>
          <w:sz w:val="24"/>
          <w:szCs w:val="24"/>
          <w:highlight w:val="none"/>
          <w:lang w:val="en-US" w:eastAsia="zh-CN"/>
        </w:rPr>
        <w:t>09</w:t>
      </w:r>
      <w:r>
        <w:rPr>
          <w:rFonts w:hint="eastAsia" w:ascii="宋体"/>
          <w:color w:val="auto"/>
          <w:sz w:val="24"/>
          <w:szCs w:val="24"/>
          <w:highlight w:val="none"/>
        </w:rPr>
        <w:t>）；</w:t>
      </w:r>
    </w:p>
    <w:p w14:paraId="1E02B2BB">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rPr>
      </w:pPr>
      <w:r>
        <w:rPr>
          <w:rFonts w:hint="eastAsia" w:ascii="宋体"/>
          <w:color w:val="auto"/>
          <w:sz w:val="24"/>
          <w:szCs w:val="24"/>
          <w:highlight w:val="none"/>
        </w:rPr>
        <w:t>《电力工程电缆设计</w:t>
      </w:r>
      <w:r>
        <w:rPr>
          <w:rFonts w:hint="eastAsia" w:ascii="宋体"/>
          <w:color w:val="auto"/>
          <w:sz w:val="24"/>
          <w:szCs w:val="24"/>
          <w:highlight w:val="none"/>
          <w:lang w:val="en-US" w:eastAsia="zh-CN"/>
        </w:rPr>
        <w:t>标准</w:t>
      </w:r>
      <w:r>
        <w:rPr>
          <w:rFonts w:hint="eastAsia" w:ascii="宋体"/>
          <w:color w:val="auto"/>
          <w:sz w:val="24"/>
          <w:szCs w:val="24"/>
          <w:highlight w:val="none"/>
        </w:rPr>
        <w:t>》（GB50217-</w:t>
      </w:r>
      <w:r>
        <w:rPr>
          <w:rFonts w:hint="eastAsia" w:ascii="宋体"/>
          <w:color w:val="auto"/>
          <w:sz w:val="24"/>
          <w:szCs w:val="24"/>
          <w:highlight w:val="none"/>
          <w:lang w:val="en-US" w:eastAsia="zh-CN"/>
        </w:rPr>
        <w:t>2018</w:t>
      </w:r>
      <w:r>
        <w:rPr>
          <w:rFonts w:hint="eastAsia" w:ascii="宋体"/>
          <w:color w:val="auto"/>
          <w:sz w:val="24"/>
          <w:szCs w:val="24"/>
          <w:highlight w:val="none"/>
        </w:rPr>
        <w:t>）；</w:t>
      </w:r>
    </w:p>
    <w:p w14:paraId="3502ECFC">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rPr>
      </w:pPr>
      <w:r>
        <w:rPr>
          <w:rFonts w:hint="eastAsia" w:ascii="宋体"/>
          <w:color w:val="auto"/>
          <w:sz w:val="24"/>
          <w:szCs w:val="24"/>
          <w:highlight w:val="none"/>
        </w:rPr>
        <w:t>《城市道路照明设计标准》</w:t>
      </w:r>
      <w:r>
        <w:rPr>
          <w:rFonts w:hint="eastAsia" w:ascii="宋体"/>
          <w:color w:val="auto"/>
          <w:sz w:val="24"/>
          <w:szCs w:val="24"/>
          <w:highlight w:val="none"/>
          <w:lang w:eastAsia="zh-CN"/>
        </w:rPr>
        <w:t>（</w:t>
      </w:r>
      <w:r>
        <w:rPr>
          <w:rFonts w:hint="eastAsia" w:ascii="宋体"/>
          <w:color w:val="auto"/>
          <w:sz w:val="24"/>
          <w:szCs w:val="24"/>
          <w:highlight w:val="none"/>
        </w:rPr>
        <w:t>CJJ45-2015</w:t>
      </w:r>
      <w:r>
        <w:rPr>
          <w:rFonts w:hint="eastAsia" w:ascii="宋体"/>
          <w:color w:val="auto"/>
          <w:sz w:val="24"/>
          <w:szCs w:val="24"/>
          <w:highlight w:val="none"/>
          <w:lang w:eastAsia="zh-CN"/>
        </w:rPr>
        <w:t>）</w:t>
      </w:r>
      <w:r>
        <w:rPr>
          <w:rFonts w:hint="eastAsia" w:ascii="宋体"/>
          <w:color w:val="auto"/>
          <w:sz w:val="24"/>
          <w:szCs w:val="24"/>
          <w:highlight w:val="none"/>
        </w:rPr>
        <w:t>；</w:t>
      </w:r>
    </w:p>
    <w:p w14:paraId="3D56C53F">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rPr>
      </w:pPr>
      <w:r>
        <w:rPr>
          <w:rFonts w:hint="eastAsia" w:ascii="宋体"/>
          <w:color w:val="auto"/>
          <w:sz w:val="24"/>
          <w:szCs w:val="24"/>
          <w:highlight w:val="none"/>
        </w:rPr>
        <w:t>《城市道路照明工程施工及验收规程》</w:t>
      </w:r>
      <w:r>
        <w:rPr>
          <w:rFonts w:hint="eastAsia" w:ascii="宋体"/>
          <w:color w:val="auto"/>
          <w:sz w:val="24"/>
          <w:szCs w:val="24"/>
          <w:highlight w:val="none"/>
          <w:lang w:eastAsia="zh-CN"/>
        </w:rPr>
        <w:t>（</w:t>
      </w:r>
      <w:r>
        <w:rPr>
          <w:rFonts w:hint="eastAsia" w:ascii="宋体"/>
          <w:color w:val="auto"/>
          <w:sz w:val="24"/>
          <w:szCs w:val="24"/>
          <w:highlight w:val="none"/>
        </w:rPr>
        <w:t>CJJ89-2012</w:t>
      </w:r>
      <w:r>
        <w:rPr>
          <w:rFonts w:hint="eastAsia" w:ascii="宋体"/>
          <w:color w:val="auto"/>
          <w:sz w:val="24"/>
          <w:szCs w:val="24"/>
          <w:highlight w:val="none"/>
          <w:lang w:eastAsia="zh-CN"/>
        </w:rPr>
        <w:t>）</w:t>
      </w:r>
      <w:r>
        <w:rPr>
          <w:rFonts w:hint="eastAsia" w:ascii="宋体"/>
          <w:color w:val="auto"/>
          <w:sz w:val="24"/>
          <w:szCs w:val="24"/>
          <w:highlight w:val="none"/>
        </w:rPr>
        <w:t>；</w:t>
      </w:r>
    </w:p>
    <w:p w14:paraId="0FDC8827">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rPr>
      </w:pPr>
      <w:r>
        <w:rPr>
          <w:rFonts w:hint="eastAsia" w:ascii="宋体"/>
          <w:color w:val="auto"/>
          <w:sz w:val="24"/>
          <w:szCs w:val="24"/>
          <w:highlight w:val="none"/>
        </w:rPr>
        <w:t>《低压配电设计规范》</w:t>
      </w:r>
      <w:r>
        <w:rPr>
          <w:rFonts w:hint="eastAsia" w:ascii="宋体"/>
          <w:color w:val="auto"/>
          <w:sz w:val="24"/>
          <w:szCs w:val="24"/>
          <w:highlight w:val="none"/>
          <w:lang w:eastAsia="zh-CN"/>
        </w:rPr>
        <w:t>（</w:t>
      </w:r>
      <w:r>
        <w:rPr>
          <w:rFonts w:hint="eastAsia" w:ascii="宋体"/>
          <w:color w:val="auto"/>
          <w:sz w:val="24"/>
          <w:szCs w:val="24"/>
          <w:highlight w:val="none"/>
        </w:rPr>
        <w:t>GB50054-2011</w:t>
      </w:r>
      <w:r>
        <w:rPr>
          <w:rFonts w:hint="eastAsia" w:ascii="宋体"/>
          <w:color w:val="auto"/>
          <w:sz w:val="24"/>
          <w:szCs w:val="24"/>
          <w:highlight w:val="none"/>
          <w:lang w:eastAsia="zh-CN"/>
        </w:rPr>
        <w:t>）</w:t>
      </w:r>
      <w:r>
        <w:rPr>
          <w:rFonts w:hint="eastAsia" w:ascii="宋体"/>
          <w:color w:val="auto"/>
          <w:sz w:val="24"/>
          <w:szCs w:val="24"/>
          <w:highlight w:val="none"/>
        </w:rPr>
        <w:t>；</w:t>
      </w:r>
    </w:p>
    <w:p w14:paraId="22847DBA">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hAnsi="宋体" w:eastAsia="宋体" w:cs="宋体"/>
          <w:sz w:val="24"/>
          <w:szCs w:val="24"/>
          <w:highlight w:val="none"/>
          <w:lang w:eastAsia="zh-CN"/>
        </w:rPr>
      </w:pPr>
      <w:r>
        <w:rPr>
          <w:rFonts w:hint="eastAsia" w:ascii="宋体"/>
          <w:color w:val="auto"/>
          <w:sz w:val="24"/>
          <w:szCs w:val="24"/>
          <w:highlight w:val="none"/>
        </w:rPr>
        <w:t>《建筑物防雷设计规范》（GB 50057-2010）；</w:t>
      </w:r>
    </w:p>
    <w:p w14:paraId="46C16C2E">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lang w:val="en-US" w:eastAsia="zh-CN"/>
        </w:rPr>
      </w:pPr>
      <w:r>
        <w:rPr>
          <w:rFonts w:hint="eastAsia"/>
          <w:color w:val="auto"/>
          <w:sz w:val="24"/>
          <w:szCs w:val="24"/>
          <w:highlight w:val="none"/>
          <w:lang w:val="en-US" w:eastAsia="zh-CN"/>
        </w:rPr>
        <w:t>《1</w:t>
      </w:r>
      <w:r>
        <w:rPr>
          <w:rFonts w:hint="eastAsia" w:ascii="宋体"/>
          <w:color w:val="auto"/>
          <w:sz w:val="24"/>
          <w:szCs w:val="24"/>
          <w:highlight w:val="none"/>
          <w:lang w:val="en-US" w:eastAsia="zh-CN"/>
        </w:rPr>
        <w:t>10kV及以下电缆敷设》（12D101-5）</w:t>
      </w:r>
      <w:r>
        <w:rPr>
          <w:rFonts w:hint="eastAsia"/>
          <w:color w:val="auto"/>
          <w:sz w:val="24"/>
          <w:szCs w:val="24"/>
          <w:highlight w:val="none"/>
          <w:lang w:val="en-US" w:eastAsia="zh-CN"/>
        </w:rPr>
        <w:t>；</w:t>
      </w:r>
    </w:p>
    <w:p w14:paraId="495A0771">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lang w:val="en-US" w:eastAsia="zh-CN"/>
        </w:rPr>
      </w:pPr>
      <w:r>
        <w:rPr>
          <w:rFonts w:hint="eastAsia"/>
          <w:color w:val="auto"/>
          <w:sz w:val="24"/>
          <w:szCs w:val="24"/>
          <w:highlight w:val="none"/>
          <w:lang w:val="en-US" w:eastAsia="zh-CN"/>
        </w:rPr>
        <w:t>《电力电缆井设计与安装》(07SD101-8)；</w:t>
      </w:r>
    </w:p>
    <w:p w14:paraId="0B6E6DE9">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hAnsi="宋体" w:eastAsia="宋体" w:cs="宋体"/>
          <w:sz w:val="24"/>
          <w:szCs w:val="24"/>
          <w:highlight w:val="none"/>
          <w:lang w:eastAsia="zh-CN"/>
        </w:rPr>
      </w:pPr>
      <w:r>
        <w:rPr>
          <w:rFonts w:hint="eastAsia" w:hAnsi="宋体" w:cs="宋体"/>
          <w:sz w:val="24"/>
          <w:szCs w:val="24"/>
          <w:highlight w:val="none"/>
        </w:rPr>
        <w:t>《通信管道与通道工程设计</w:t>
      </w:r>
      <w:r>
        <w:rPr>
          <w:rFonts w:hint="eastAsia" w:hAnsi="宋体" w:cs="宋体"/>
          <w:sz w:val="24"/>
          <w:szCs w:val="24"/>
          <w:highlight w:val="none"/>
          <w:lang w:val="en-US" w:eastAsia="zh-CN"/>
        </w:rPr>
        <w:t>标准</w:t>
      </w:r>
      <w:r>
        <w:rPr>
          <w:rFonts w:hint="eastAsia" w:hAnsi="宋体" w:cs="宋体"/>
          <w:sz w:val="24"/>
          <w:szCs w:val="24"/>
          <w:highlight w:val="none"/>
        </w:rPr>
        <w:t>》（GB 50373-20</w:t>
      </w:r>
      <w:r>
        <w:rPr>
          <w:rFonts w:hint="eastAsia" w:hAnsi="宋体" w:cs="宋体"/>
          <w:sz w:val="24"/>
          <w:szCs w:val="24"/>
          <w:highlight w:val="none"/>
          <w:lang w:val="en-US" w:eastAsia="zh-CN"/>
        </w:rPr>
        <w:t>19</w:t>
      </w:r>
      <w:r>
        <w:rPr>
          <w:rFonts w:hint="eastAsia" w:hAnsi="宋体" w:cs="宋体"/>
          <w:sz w:val="24"/>
          <w:szCs w:val="24"/>
          <w:highlight w:val="none"/>
        </w:rPr>
        <w:t>）</w:t>
      </w:r>
      <w:r>
        <w:rPr>
          <w:rFonts w:hint="eastAsia" w:hAnsi="宋体" w:cs="宋体"/>
          <w:sz w:val="24"/>
          <w:szCs w:val="24"/>
          <w:highlight w:val="none"/>
          <w:lang w:eastAsia="zh-CN"/>
        </w:rPr>
        <w:t>；</w:t>
      </w:r>
    </w:p>
    <w:p w14:paraId="26BFCCF8">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hAnsi="宋体" w:eastAsia="宋体" w:cs="宋体"/>
          <w:sz w:val="24"/>
          <w:szCs w:val="24"/>
          <w:highlight w:val="none"/>
          <w:lang w:eastAsia="zh-CN"/>
        </w:rPr>
      </w:pPr>
      <w:r>
        <w:rPr>
          <w:rFonts w:hint="eastAsia" w:hAnsi="宋体" w:cs="宋体"/>
          <w:sz w:val="24"/>
          <w:szCs w:val="24"/>
          <w:highlight w:val="none"/>
        </w:rPr>
        <w:t>《通信管道工程施工及验收</w:t>
      </w:r>
      <w:r>
        <w:rPr>
          <w:rFonts w:hint="eastAsia" w:hAnsi="宋体" w:cs="宋体"/>
          <w:sz w:val="24"/>
          <w:szCs w:val="24"/>
          <w:highlight w:val="none"/>
          <w:lang w:val="en-US" w:eastAsia="zh-CN"/>
        </w:rPr>
        <w:t>标准</w:t>
      </w:r>
      <w:r>
        <w:rPr>
          <w:rFonts w:hint="eastAsia" w:hAnsi="宋体" w:cs="宋体"/>
          <w:sz w:val="24"/>
          <w:szCs w:val="24"/>
          <w:highlight w:val="none"/>
        </w:rPr>
        <w:t>》（GB50374-20</w:t>
      </w:r>
      <w:r>
        <w:rPr>
          <w:rFonts w:hint="eastAsia" w:hAnsi="宋体" w:cs="宋体"/>
          <w:sz w:val="24"/>
          <w:szCs w:val="24"/>
          <w:highlight w:val="none"/>
          <w:lang w:val="en-US" w:eastAsia="zh-CN"/>
        </w:rPr>
        <w:t>18</w:t>
      </w:r>
      <w:r>
        <w:rPr>
          <w:rFonts w:hint="eastAsia" w:hAnsi="宋体" w:cs="宋体"/>
          <w:sz w:val="24"/>
          <w:szCs w:val="24"/>
          <w:highlight w:val="none"/>
        </w:rPr>
        <w:t>）</w:t>
      </w:r>
      <w:r>
        <w:rPr>
          <w:rFonts w:hint="eastAsia" w:hAnsi="宋体" w:cs="宋体"/>
          <w:sz w:val="24"/>
          <w:szCs w:val="24"/>
          <w:highlight w:val="none"/>
          <w:lang w:eastAsia="zh-CN"/>
        </w:rPr>
        <w:t>；</w:t>
      </w:r>
    </w:p>
    <w:p w14:paraId="17319C8D">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eastAsia="宋体" w:cs="宋体"/>
          <w:color w:val="auto"/>
          <w:sz w:val="24"/>
          <w:szCs w:val="24"/>
          <w:highlight w:val="none"/>
          <w:lang w:eastAsia="zh-CN"/>
        </w:rPr>
      </w:pPr>
      <w:r>
        <w:rPr>
          <w:rFonts w:hint="eastAsia" w:hAnsi="宋体" w:cs="宋体"/>
          <w:sz w:val="24"/>
          <w:szCs w:val="24"/>
          <w:highlight w:val="none"/>
        </w:rPr>
        <w:t>《通信管道人孔和手孔图集》（YD/T 5178-2017）</w:t>
      </w:r>
      <w:r>
        <w:rPr>
          <w:rFonts w:hint="eastAsia" w:hAnsi="宋体" w:cs="宋体"/>
          <w:sz w:val="24"/>
          <w:szCs w:val="24"/>
          <w:highlight w:val="none"/>
          <w:lang w:eastAsia="zh-CN"/>
        </w:rPr>
        <w:t>；</w:t>
      </w:r>
    </w:p>
    <w:p w14:paraId="06FBD522">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eastAsia="宋体" w:cs="宋体"/>
          <w:color w:val="auto"/>
          <w:sz w:val="24"/>
          <w:szCs w:val="24"/>
          <w:highlight w:val="none"/>
          <w:lang w:eastAsia="zh-CN"/>
        </w:rPr>
      </w:pPr>
      <w:r>
        <w:rPr>
          <w:rFonts w:hint="eastAsia" w:cs="宋体"/>
          <w:color w:val="auto"/>
          <w:sz w:val="24"/>
          <w:szCs w:val="24"/>
          <w:highlight w:val="none"/>
        </w:rPr>
        <w:t>《地下通信线缆敷设》（05X101-2）</w:t>
      </w:r>
      <w:r>
        <w:rPr>
          <w:rFonts w:hint="eastAsia" w:cs="宋体"/>
          <w:color w:val="auto"/>
          <w:sz w:val="24"/>
          <w:szCs w:val="24"/>
          <w:highlight w:val="none"/>
          <w:lang w:eastAsia="zh-CN"/>
        </w:rPr>
        <w:t>；</w:t>
      </w:r>
    </w:p>
    <w:p w14:paraId="6535D489">
      <w:pPr>
        <w:keepNext w:val="0"/>
        <w:keepLines w:val="0"/>
        <w:pageBreakBefore w:val="0"/>
        <w:widowControl w:val="0"/>
        <w:numPr>
          <w:ilvl w:val="0"/>
          <w:numId w:val="1"/>
        </w:numPr>
        <w:shd w:val="clear" w:color="auto" w:fill="auto"/>
        <w:kinsoku/>
        <w:wordWrap/>
        <w:overflowPunct/>
        <w:topLinePunct w:val="0"/>
        <w:autoSpaceDE w:val="0"/>
        <w:autoSpaceDN w:val="0"/>
        <w:bidi w:val="0"/>
        <w:adjustRightInd w:val="0"/>
        <w:snapToGrid/>
        <w:spacing w:beforeAutospacing="0" w:afterAutospacing="0" w:line="360" w:lineRule="auto"/>
        <w:ind w:left="0" w:leftChars="0" w:right="0" w:rightChars="0" w:firstLine="480" w:firstLineChars="200"/>
        <w:textAlignment w:val="auto"/>
        <w:rPr>
          <w:rFonts w:hint="eastAsia" w:ascii="宋体"/>
          <w:color w:val="auto"/>
          <w:sz w:val="24"/>
          <w:szCs w:val="24"/>
          <w:highlight w:val="none"/>
        </w:rPr>
      </w:pPr>
      <w:r>
        <w:rPr>
          <w:rFonts w:hint="eastAsia" w:ascii="宋体"/>
          <w:color w:val="auto"/>
          <w:sz w:val="24"/>
          <w:szCs w:val="24"/>
          <w:highlight w:val="none"/>
        </w:rPr>
        <w:t>其它国家和地方相关的标准、规范、规程、法规。</w:t>
      </w:r>
    </w:p>
    <w:p w14:paraId="243B72A0">
      <w:pPr>
        <w:pStyle w:val="2"/>
        <w:pageBreakBefore w:val="0"/>
        <w:kinsoku/>
        <w:overflowPunct/>
        <w:bidi w:val="0"/>
        <w:spacing w:before="0" w:beforeLines="0" w:beforeAutospacing="0" w:after="0" w:afterLines="0" w:afterAutospacing="0" w:line="360" w:lineRule="auto"/>
        <w:ind w:left="0" w:leftChars="0" w:right="0" w:rightChars="0"/>
        <w:rPr>
          <w:rFonts w:hint="default"/>
          <w:highlight w:val="none"/>
          <w:lang w:val="en-US" w:eastAsia="zh-CN"/>
        </w:rPr>
      </w:pPr>
      <w:bookmarkStart w:id="10" w:name="_Toc32466"/>
      <w:bookmarkStart w:id="11" w:name="_Toc422670902"/>
      <w:bookmarkStart w:id="12" w:name="_Toc7740"/>
      <w:bookmarkStart w:id="13" w:name="_Toc422670658"/>
      <w:bookmarkStart w:id="14" w:name="_Toc31541"/>
      <w:bookmarkStart w:id="15" w:name="_Toc422670777"/>
      <w:bookmarkStart w:id="16" w:name="_Toc10643"/>
      <w:r>
        <w:rPr>
          <w:rFonts w:hint="eastAsia"/>
          <w:highlight w:val="none"/>
          <w:lang w:val="en-US" w:eastAsia="zh-CN"/>
        </w:rPr>
        <w:t>3、</w:t>
      </w:r>
      <w:bookmarkEnd w:id="10"/>
      <w:r>
        <w:rPr>
          <w:rFonts w:hint="eastAsia"/>
          <w:highlight w:val="none"/>
          <w:lang w:val="en-US" w:eastAsia="zh-CN"/>
        </w:rPr>
        <w:t>电力管线工程</w:t>
      </w:r>
    </w:p>
    <w:p w14:paraId="7F342199">
      <w:pPr>
        <w:pStyle w:val="3"/>
        <w:pageBreakBefore w:val="0"/>
        <w:kinsoku/>
        <w:overflowPunct/>
        <w:bidi w:val="0"/>
        <w:spacing w:before="0" w:beforeLines="0" w:beforeAutospacing="0" w:after="0" w:afterLines="0" w:afterAutospacing="0" w:line="360" w:lineRule="auto"/>
        <w:ind w:left="0" w:leftChars="0" w:right="0" w:rightChars="0"/>
        <w:rPr>
          <w:rFonts w:hint="eastAsia" w:ascii="Arial" w:hAnsi="Arial"/>
          <w:szCs w:val="22"/>
          <w:highlight w:val="none"/>
          <w:lang w:val="en-US" w:eastAsia="zh-CN"/>
        </w:rPr>
      </w:pPr>
      <w:r>
        <w:rPr>
          <w:rFonts w:hint="eastAsia" w:ascii="Arial" w:hAnsi="Arial"/>
          <w:szCs w:val="22"/>
          <w:highlight w:val="none"/>
          <w:lang w:val="en-US" w:eastAsia="zh-CN"/>
        </w:rPr>
        <w:t>3.1设计范围及内容</w:t>
      </w:r>
    </w:p>
    <w:p w14:paraId="0E99645D">
      <w:pPr>
        <w:spacing w:line="360" w:lineRule="auto"/>
        <w:ind w:firstLine="480"/>
        <w:rPr>
          <w:rFonts w:hAnsi="宋体" w:cs="宋体"/>
          <w:bCs/>
          <w:color w:val="auto"/>
          <w:sz w:val="24"/>
          <w:szCs w:val="24"/>
          <w:highlight w:val="none"/>
        </w:rPr>
      </w:pPr>
      <w:r>
        <w:rPr>
          <w:rFonts w:hint="eastAsia"/>
          <w:color w:val="auto"/>
          <w:sz w:val="24"/>
          <w:szCs w:val="24"/>
          <w:highlight w:val="none"/>
          <w:lang w:val="en-US" w:eastAsia="zh-CN"/>
        </w:rPr>
        <w:t>电力工程设计范围为：同道路设计范围。</w:t>
      </w:r>
    </w:p>
    <w:p w14:paraId="76F05031">
      <w:pPr>
        <w:pStyle w:val="19"/>
        <w:spacing w:line="360" w:lineRule="auto"/>
        <w:rPr>
          <w:rFonts w:hint="eastAsia"/>
          <w:color w:val="auto"/>
          <w:sz w:val="24"/>
          <w:szCs w:val="24"/>
          <w:highlight w:val="none"/>
          <w:lang w:val="en-US" w:eastAsia="zh-CN"/>
        </w:rPr>
      </w:pPr>
      <w:r>
        <w:rPr>
          <w:rFonts w:hint="eastAsia"/>
          <w:color w:val="auto"/>
          <w:sz w:val="24"/>
          <w:szCs w:val="24"/>
          <w:highlight w:val="none"/>
          <w:lang w:val="en-US" w:eastAsia="zh-CN"/>
        </w:rPr>
        <w:t>设计内容包括工程范围内配套电力管沟。</w:t>
      </w:r>
    </w:p>
    <w:p w14:paraId="4AB887FC">
      <w:pPr>
        <w:pStyle w:val="3"/>
        <w:pageBreakBefore w:val="0"/>
        <w:kinsoku/>
        <w:overflowPunct/>
        <w:bidi w:val="0"/>
        <w:spacing w:before="0" w:beforeLines="0" w:beforeAutospacing="0" w:after="0" w:afterLines="0" w:afterAutospacing="0" w:line="360" w:lineRule="auto"/>
        <w:ind w:left="0" w:leftChars="0" w:right="0" w:rightChars="0"/>
        <w:rPr>
          <w:rFonts w:hint="eastAsia" w:ascii="Arial" w:hAnsi="Arial"/>
          <w:szCs w:val="22"/>
          <w:highlight w:val="none"/>
          <w:lang w:val="en-US" w:eastAsia="zh-CN"/>
        </w:rPr>
      </w:pPr>
      <w:r>
        <w:rPr>
          <w:rFonts w:hint="eastAsia" w:ascii="Arial" w:hAnsi="Arial"/>
          <w:szCs w:val="22"/>
          <w:highlight w:val="none"/>
          <w:lang w:val="en-US" w:eastAsia="zh-CN"/>
        </w:rPr>
        <w:t>3.2初设执行情况</w:t>
      </w:r>
    </w:p>
    <w:p w14:paraId="120582D2">
      <w:pPr>
        <w:pStyle w:val="19"/>
        <w:shd w:val="clear" w:color="auto" w:fill="auto"/>
        <w:jc w:val="left"/>
        <w:rPr>
          <w:rFonts w:hint="eastAsia" w:ascii="宋体" w:cs="宋体"/>
          <w:color w:val="auto"/>
          <w:sz w:val="24"/>
          <w:szCs w:val="24"/>
          <w:highlight w:val="yellow"/>
          <w:lang w:val="en-US" w:eastAsia="zh-CN"/>
        </w:rPr>
      </w:pPr>
      <w:r>
        <w:rPr>
          <w:rFonts w:hint="eastAsia" w:ascii="宋体" w:cs="宋体"/>
          <w:color w:val="auto"/>
          <w:sz w:val="24"/>
          <w:szCs w:val="24"/>
          <w:highlight w:val="yellow"/>
          <w:lang w:val="en-US" w:eastAsia="zh-CN"/>
        </w:rPr>
        <w:t>在初设基础上深化设计。</w:t>
      </w:r>
    </w:p>
    <w:bookmarkEnd w:id="11"/>
    <w:bookmarkEnd w:id="12"/>
    <w:bookmarkEnd w:id="13"/>
    <w:bookmarkEnd w:id="14"/>
    <w:bookmarkEnd w:id="15"/>
    <w:p w14:paraId="2406D12F">
      <w:pPr>
        <w:pStyle w:val="3"/>
        <w:pageBreakBefore w:val="0"/>
        <w:kinsoku/>
        <w:overflowPunct/>
        <w:bidi w:val="0"/>
        <w:spacing w:before="0" w:beforeLines="0" w:beforeAutospacing="0" w:after="0" w:afterLines="0" w:afterAutospacing="0" w:line="360" w:lineRule="auto"/>
        <w:ind w:left="0" w:leftChars="0" w:right="0" w:rightChars="0"/>
        <w:rPr>
          <w:rFonts w:hint="eastAsia" w:ascii="Arial" w:hAnsi="Arial" w:eastAsia="宋体"/>
          <w:szCs w:val="22"/>
          <w:highlight w:val="none"/>
          <w:lang w:val="en-US" w:eastAsia="zh-CN"/>
        </w:rPr>
      </w:pPr>
      <w:bookmarkStart w:id="17" w:name="_Toc1546"/>
      <w:bookmarkStart w:id="18" w:name="_Toc422670913"/>
      <w:bookmarkStart w:id="19" w:name="_Toc22834"/>
      <w:bookmarkStart w:id="20" w:name="_Toc422670788"/>
      <w:bookmarkStart w:id="21" w:name="_Toc422670911"/>
      <w:bookmarkStart w:id="22" w:name="_Toc422670669"/>
      <w:bookmarkStart w:id="23" w:name="_Toc422670667"/>
      <w:bookmarkStart w:id="24" w:name="_Toc422670786"/>
      <w:bookmarkStart w:id="25" w:name="_Toc6882"/>
      <w:r>
        <w:rPr>
          <w:rFonts w:hint="eastAsia" w:ascii="Arial" w:hAnsi="Arial"/>
          <w:szCs w:val="22"/>
          <w:highlight w:val="none"/>
          <w:lang w:val="en-US" w:eastAsia="zh-CN"/>
        </w:rPr>
        <w:t>3</w:t>
      </w:r>
      <w:r>
        <w:rPr>
          <w:rFonts w:hint="eastAsia" w:ascii="Arial" w:hAnsi="Arial" w:eastAsia="宋体"/>
          <w:szCs w:val="22"/>
          <w:highlight w:val="none"/>
          <w:lang w:val="en-US" w:eastAsia="zh-CN"/>
        </w:rPr>
        <w:t>.</w:t>
      </w:r>
      <w:r>
        <w:rPr>
          <w:rFonts w:hint="eastAsia" w:ascii="Arial" w:hAnsi="Arial"/>
          <w:szCs w:val="22"/>
          <w:highlight w:val="none"/>
          <w:lang w:val="en-US" w:eastAsia="zh-CN"/>
        </w:rPr>
        <w:t>3</w:t>
      </w:r>
      <w:r>
        <w:rPr>
          <w:rFonts w:hint="eastAsia" w:ascii="Arial" w:hAnsi="Arial" w:eastAsia="宋体"/>
          <w:szCs w:val="22"/>
          <w:highlight w:val="none"/>
          <w:lang w:val="en-US" w:eastAsia="zh-CN"/>
        </w:rPr>
        <w:t>电力工程设计</w:t>
      </w:r>
    </w:p>
    <w:p w14:paraId="23906906">
      <w:pPr>
        <w:tabs>
          <w:tab w:val="left" w:pos="180"/>
        </w:tabs>
        <w:spacing w:line="360" w:lineRule="auto"/>
        <w:ind w:firstLine="562" w:firstLineChars="200"/>
        <w:rPr>
          <w:rFonts w:hint="default" w:ascii="Times New Roman" w:hAnsi="Times New Roman" w:eastAsia="宋体" w:cstheme="minorBidi"/>
          <w:b/>
          <w:spacing w:val="0"/>
          <w:kern w:val="2"/>
          <w:sz w:val="28"/>
          <w:szCs w:val="28"/>
          <w:highlight w:val="green"/>
          <w:lang w:val="en-US" w:eastAsia="zh-CN" w:bidi="ar-SA"/>
        </w:rPr>
      </w:pPr>
      <w:r>
        <w:rPr>
          <w:rFonts w:hint="eastAsia" w:ascii="Times New Roman" w:hAnsi="Times New Roman" w:eastAsia="宋体" w:cstheme="minorBidi"/>
          <w:b/>
          <w:spacing w:val="0"/>
          <w:kern w:val="2"/>
          <w:sz w:val="28"/>
          <w:szCs w:val="28"/>
          <w:highlight w:val="green"/>
          <w:lang w:val="en-US" w:eastAsia="zh-CN" w:bidi="ar-SA"/>
        </w:rPr>
        <w:t>3.3.1电力工程规划分析</w:t>
      </w:r>
    </w:p>
    <w:p w14:paraId="19285B42">
      <w:pPr>
        <w:tabs>
          <w:tab w:val="left" w:pos="180"/>
        </w:tabs>
        <w:spacing w:line="360" w:lineRule="auto"/>
        <w:ind w:firstLine="512" w:firstLineChars="200"/>
        <w:rPr>
          <w:rFonts w:hint="eastAsia" w:ascii="宋体" w:hAnsi="宋体"/>
          <w:spacing w:val="8"/>
          <w:sz w:val="24"/>
          <w:highlight w:val="green"/>
        </w:rPr>
      </w:pPr>
      <w:r>
        <w:rPr>
          <w:rFonts w:hint="eastAsia" w:ascii="宋体" w:hAnsi="宋体"/>
          <w:spacing w:val="8"/>
          <w:sz w:val="24"/>
          <w:highlight w:val="green"/>
          <w:lang w:val="en-US" w:eastAsia="zh-CN"/>
        </w:rPr>
        <w:t>根据</w:t>
      </w:r>
      <w:r>
        <w:rPr>
          <w:rFonts w:hint="eastAsia" w:ascii="宋体" w:hAnsi="宋体"/>
          <w:spacing w:val="8"/>
          <w:sz w:val="24"/>
          <w:highlight w:val="green"/>
        </w:rPr>
        <w:t>《</w:t>
      </w:r>
      <w:r>
        <w:rPr>
          <w:rFonts w:hint="eastAsia" w:ascii="宋体" w:hAnsi="宋体"/>
          <w:spacing w:val="8"/>
          <w:sz w:val="24"/>
          <w:highlight w:val="green"/>
          <w:lang w:val="en-US" w:eastAsia="zh-CN"/>
        </w:rPr>
        <w:t>文昌市中心城区清澜.高隆湾片区控制性规划</w:t>
      </w:r>
      <w:r>
        <w:rPr>
          <w:rFonts w:hint="eastAsia" w:ascii="宋体" w:hAnsi="宋体"/>
          <w:spacing w:val="8"/>
          <w:sz w:val="24"/>
          <w:highlight w:val="green"/>
        </w:rPr>
        <w:t>——电力工程规划图》，</w:t>
      </w:r>
      <w:r>
        <w:rPr>
          <w:rFonts w:hint="eastAsia" w:ascii="宋体" w:hAnsi="宋体"/>
          <w:spacing w:val="8"/>
          <w:sz w:val="24"/>
          <w:highlight w:val="green"/>
          <w:lang w:val="en-US" w:eastAsia="zh-CN"/>
        </w:rPr>
        <w:t>本项目电力工程规划为</w:t>
      </w:r>
      <w:r>
        <w:rPr>
          <w:rFonts w:hint="eastAsia" w:ascii="宋体" w:hAnsi="宋体"/>
          <w:spacing w:val="8"/>
          <w:sz w:val="24"/>
          <w:highlight w:val="green"/>
        </w:rPr>
        <w:t>1.</w:t>
      </w:r>
      <w:r>
        <w:rPr>
          <w:rFonts w:hint="eastAsia" w:ascii="宋体" w:hAnsi="宋体"/>
          <w:spacing w:val="8"/>
          <w:sz w:val="24"/>
          <w:highlight w:val="green"/>
          <w:lang w:val="en-US" w:eastAsia="zh-CN"/>
        </w:rPr>
        <w:t>0</w:t>
      </w:r>
      <w:r>
        <w:rPr>
          <w:rFonts w:hint="eastAsia" w:ascii="宋体" w:hAnsi="宋体"/>
          <w:spacing w:val="8"/>
          <w:sz w:val="24"/>
          <w:highlight w:val="green"/>
        </w:rPr>
        <w:t>m×</w:t>
      </w:r>
      <w:r>
        <w:rPr>
          <w:rFonts w:hint="eastAsia" w:ascii="宋体" w:hAnsi="宋体"/>
          <w:spacing w:val="8"/>
          <w:sz w:val="24"/>
          <w:highlight w:val="green"/>
          <w:lang w:val="en-US" w:eastAsia="zh-CN"/>
        </w:rPr>
        <w:t>1.0</w:t>
      </w:r>
      <w:r>
        <w:rPr>
          <w:rFonts w:hint="eastAsia" w:ascii="宋体" w:hAnsi="宋体"/>
          <w:spacing w:val="8"/>
          <w:sz w:val="24"/>
          <w:highlight w:val="green"/>
        </w:rPr>
        <w:t>m</w:t>
      </w:r>
      <w:r>
        <w:rPr>
          <w:rFonts w:hint="eastAsia" w:ascii="宋体" w:hAnsi="宋体"/>
          <w:spacing w:val="8"/>
          <w:sz w:val="24"/>
          <w:highlight w:val="green"/>
          <w:lang w:val="en-US" w:eastAsia="zh-CN"/>
        </w:rPr>
        <w:t>的10kV</w:t>
      </w:r>
      <w:r>
        <w:rPr>
          <w:rFonts w:hint="eastAsia" w:ascii="宋体" w:hAnsi="宋体"/>
          <w:spacing w:val="8"/>
          <w:sz w:val="24"/>
          <w:highlight w:val="green"/>
        </w:rPr>
        <w:t>电缆沟。</w:t>
      </w:r>
    </w:p>
    <w:p w14:paraId="6675BFD9">
      <w:pPr>
        <w:pStyle w:val="4"/>
        <w:pageBreakBefore w:val="0"/>
        <w:kinsoku/>
        <w:overflowPunct/>
        <w:bidi w:val="0"/>
        <w:spacing w:beforeAutospacing="0" w:afterAutospacing="0" w:line="360" w:lineRule="auto"/>
        <w:ind w:left="0" w:leftChars="0" w:right="0" w:rightChars="0"/>
        <w:jc w:val="center"/>
        <w:rPr>
          <w:rFonts w:hint="eastAsia" w:ascii="宋体" w:hAnsi="宋体"/>
          <w:b/>
          <w:bCs/>
          <w:spacing w:val="8"/>
          <w:sz w:val="24"/>
          <w:highlight w:val="green"/>
          <w:lang w:val="en-US" w:eastAsia="zh-CN"/>
        </w:rPr>
      </w:pPr>
      <w:r>
        <w:rPr>
          <w:rFonts w:hint="eastAsia" w:ascii="宋体" w:hAnsi="宋体"/>
          <w:b/>
          <w:bCs/>
          <w:spacing w:val="8"/>
          <w:sz w:val="24"/>
          <w:highlight w:val="green"/>
          <w:lang w:val="en-US" w:eastAsia="zh-CN"/>
        </w:rPr>
        <w:drawing>
          <wp:inline distT="0" distB="0" distL="114300" distR="114300">
            <wp:extent cx="5419090" cy="6617970"/>
            <wp:effectExtent l="0" t="0" r="0" b="0"/>
            <wp:docPr id="1" name="图片 1" descr="5-06电力工程规划图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06电力工程规划图副本"/>
                    <pic:cNvPicPr>
                      <a:picLocks noChangeAspect="1"/>
                    </pic:cNvPicPr>
                  </pic:nvPicPr>
                  <pic:blipFill>
                    <a:blip r:embed="rId6"/>
                    <a:srcRect l="6004" t="11135" r="6261" b="13069"/>
                    <a:stretch>
                      <a:fillRect/>
                    </a:stretch>
                  </pic:blipFill>
                  <pic:spPr>
                    <a:xfrm>
                      <a:off x="0" y="0"/>
                      <a:ext cx="5419090" cy="6617970"/>
                    </a:xfrm>
                    <a:prstGeom prst="rect">
                      <a:avLst/>
                    </a:prstGeom>
                    <a:noFill/>
                    <a:ln>
                      <a:noFill/>
                    </a:ln>
                  </pic:spPr>
                </pic:pic>
              </a:graphicData>
            </a:graphic>
          </wp:inline>
        </w:drawing>
      </w:r>
    </w:p>
    <w:p w14:paraId="438181CA">
      <w:pPr>
        <w:tabs>
          <w:tab w:val="left" w:pos="180"/>
        </w:tabs>
        <w:spacing w:line="360" w:lineRule="auto"/>
        <w:ind w:firstLine="562" w:firstLineChars="200"/>
        <w:rPr>
          <w:rFonts w:hint="default" w:ascii="Times New Roman" w:hAnsi="Times New Roman" w:eastAsia="宋体" w:cstheme="minorBidi"/>
          <w:b/>
          <w:spacing w:val="0"/>
          <w:kern w:val="2"/>
          <w:sz w:val="28"/>
          <w:szCs w:val="28"/>
          <w:highlight w:val="green"/>
          <w:lang w:val="en-US" w:eastAsia="zh-CN" w:bidi="ar-SA"/>
        </w:rPr>
      </w:pPr>
      <w:r>
        <w:rPr>
          <w:rFonts w:hint="eastAsia" w:ascii="Times New Roman" w:hAnsi="Times New Roman" w:eastAsia="宋体" w:cstheme="minorBidi"/>
          <w:b/>
          <w:spacing w:val="0"/>
          <w:kern w:val="2"/>
          <w:sz w:val="28"/>
          <w:szCs w:val="28"/>
          <w:highlight w:val="green"/>
          <w:lang w:val="en-US" w:eastAsia="zh-CN" w:bidi="ar-SA"/>
        </w:rPr>
        <w:t>3.3.2 电力排管</w:t>
      </w:r>
    </w:p>
    <w:p w14:paraId="62B906AF">
      <w:pPr>
        <w:keepNext w:val="0"/>
        <w:keepLines w:val="0"/>
        <w:pageBreakBefore w:val="0"/>
        <w:widowControl w:val="0"/>
        <w:tabs>
          <w:tab w:val="left" w:pos="180"/>
        </w:tabs>
        <w:kinsoku/>
        <w:wordWrap/>
        <w:overflowPunct/>
        <w:topLinePunct w:val="0"/>
        <w:autoSpaceDE/>
        <w:autoSpaceDN/>
        <w:bidi w:val="0"/>
        <w:adjustRightInd/>
        <w:snapToGrid/>
        <w:spacing w:line="360" w:lineRule="auto"/>
        <w:ind w:firstLine="512" w:firstLineChars="200"/>
        <w:textAlignment w:val="auto"/>
        <w:rPr>
          <w:rFonts w:hint="eastAsia" w:ascii="宋体" w:hAnsi="宋体"/>
          <w:spacing w:val="8"/>
          <w:sz w:val="24"/>
          <w:highlight w:val="yellow"/>
          <w:lang w:val="en-US" w:eastAsia="zh-CN"/>
        </w:rPr>
      </w:pPr>
      <w:r>
        <w:rPr>
          <w:rFonts w:hint="eastAsia" w:ascii="宋体" w:hAnsi="宋体"/>
          <w:spacing w:val="8"/>
          <w:sz w:val="24"/>
          <w:highlight w:val="yellow"/>
          <w:lang w:val="en-US" w:eastAsia="zh-CN"/>
        </w:rPr>
        <w:t>初设电缆沟按12线设计，按规划的管综，电力布置在红线外。</w:t>
      </w:r>
    </w:p>
    <w:p w14:paraId="21997654">
      <w:pPr>
        <w:keepNext w:val="0"/>
        <w:keepLines w:val="0"/>
        <w:pageBreakBefore w:val="0"/>
        <w:widowControl w:val="0"/>
        <w:tabs>
          <w:tab w:val="left" w:pos="180"/>
        </w:tabs>
        <w:kinsoku/>
        <w:wordWrap/>
        <w:overflowPunct/>
        <w:topLinePunct w:val="0"/>
        <w:autoSpaceDE/>
        <w:autoSpaceDN/>
        <w:bidi w:val="0"/>
        <w:adjustRightInd/>
        <w:snapToGrid/>
        <w:spacing w:line="360" w:lineRule="auto"/>
        <w:ind w:firstLine="512" w:firstLineChars="200"/>
        <w:textAlignment w:val="auto"/>
        <w:rPr>
          <w:rFonts w:hint="eastAsia" w:ascii="宋体" w:hAnsi="宋体"/>
          <w:spacing w:val="8"/>
          <w:sz w:val="24"/>
          <w:highlight w:val="yellow"/>
          <w:lang w:val="en-US" w:eastAsia="zh-CN"/>
        </w:rPr>
      </w:pPr>
      <w:r>
        <w:rPr>
          <w:rFonts w:hint="eastAsia" w:ascii="宋体" w:hAnsi="宋体"/>
          <w:spacing w:val="8"/>
          <w:sz w:val="24"/>
          <w:highlight w:val="yellow"/>
          <w:lang w:val="en-US" w:eastAsia="zh-CN"/>
        </w:rPr>
        <w:t>初设沉底十二线电缆沟设计，断面尺寸电缆沟断面净空尺寸为1.41m（宽）×1.02m（深），电缆支架于沟内间距0.8m双侧布置，采用复合支架，每侧设置三层支架，层间距为0.25m。</w:t>
      </w:r>
    </w:p>
    <w:p w14:paraId="34CA671B">
      <w:pPr>
        <w:keepNext w:val="0"/>
        <w:keepLines w:val="0"/>
        <w:pageBreakBefore w:val="0"/>
        <w:widowControl w:val="0"/>
        <w:tabs>
          <w:tab w:val="left" w:pos="180"/>
        </w:tabs>
        <w:kinsoku/>
        <w:wordWrap/>
        <w:overflowPunct/>
        <w:topLinePunct w:val="0"/>
        <w:autoSpaceDE/>
        <w:autoSpaceDN/>
        <w:bidi w:val="0"/>
        <w:adjustRightInd/>
        <w:snapToGrid/>
        <w:spacing w:line="360" w:lineRule="auto"/>
        <w:ind w:firstLine="512" w:firstLineChars="200"/>
        <w:textAlignment w:val="auto"/>
        <w:rPr>
          <w:rFonts w:hint="eastAsia" w:ascii="宋体" w:hAnsi="宋体"/>
          <w:spacing w:val="8"/>
          <w:sz w:val="24"/>
          <w:highlight w:val="green"/>
          <w:lang w:val="zh-CN" w:eastAsia="zh-CN"/>
        </w:rPr>
      </w:pPr>
      <w:r>
        <w:rPr>
          <w:rFonts w:hint="eastAsia" w:ascii="宋体" w:hAnsi="宋体"/>
          <w:spacing w:val="8"/>
          <w:sz w:val="24"/>
          <w:highlight w:val="yellow"/>
          <w:lang w:val="en-US" w:eastAsia="zh-CN"/>
        </w:rPr>
        <w:t>施工图阶段，管线原则上不超红线，结合道路断面，同时考虑满足《城市道路绿化设计标准CJJT 75-2023 》规范要求，电力调整为12</w:t>
      </w:r>
      <w:r>
        <w:rPr>
          <w:rFonts w:hint="eastAsia" w:ascii="宋体" w:hAnsi="宋体"/>
          <w:spacing w:val="8"/>
          <w:sz w:val="24"/>
          <w:highlight w:val="yellow"/>
          <w:lang w:val="zh-CN" w:eastAsia="zh-CN"/>
        </w:rPr>
        <w:t>线</w:t>
      </w:r>
      <w:r>
        <w:rPr>
          <w:rFonts w:hint="eastAsia" w:ascii="宋体" w:hAnsi="宋体"/>
          <w:spacing w:val="8"/>
          <w:sz w:val="24"/>
          <w:highlight w:val="yellow"/>
          <w:lang w:val="en-US" w:eastAsia="zh-CN"/>
        </w:rPr>
        <w:t>电力排管，</w:t>
      </w:r>
      <w:r>
        <w:rPr>
          <w:rFonts w:hint="eastAsia" w:ascii="宋体" w:hAnsi="宋体"/>
          <w:spacing w:val="8"/>
          <w:sz w:val="24"/>
          <w:highlight w:val="yellow"/>
          <w:lang w:val="zh-CN" w:eastAsia="zh-CN"/>
        </w:rPr>
        <w:t>为</w:t>
      </w:r>
      <w:r>
        <w:rPr>
          <w:rFonts w:hint="eastAsia" w:ascii="宋体" w:hAnsi="宋体"/>
          <w:spacing w:val="8"/>
          <w:sz w:val="24"/>
          <w:highlight w:val="yellow"/>
          <w:lang w:val="en-US" w:eastAsia="zh-CN"/>
        </w:rPr>
        <w:t xml:space="preserve">MPP管4x3 </w:t>
      </w:r>
      <w:r>
        <w:rPr>
          <w:rFonts w:hint="eastAsia" w:ascii="宋体" w:hAnsi="宋体"/>
          <w:spacing w:val="8"/>
          <w:sz w:val="24"/>
          <w:highlight w:val="yellow"/>
          <w:lang w:val="zh-CN" w:eastAsia="zh-CN"/>
        </w:rPr>
        <w:t>Φ180/10管，分</w:t>
      </w:r>
      <w:r>
        <w:rPr>
          <w:rFonts w:hint="eastAsia" w:ascii="宋体" w:hAnsi="宋体"/>
          <w:spacing w:val="8"/>
          <w:sz w:val="24"/>
          <w:highlight w:val="yellow"/>
          <w:lang w:val="en-US" w:eastAsia="zh-CN"/>
        </w:rPr>
        <w:t>3</w:t>
      </w:r>
      <w:r>
        <w:rPr>
          <w:rFonts w:hint="eastAsia" w:ascii="宋体" w:hAnsi="宋体"/>
          <w:spacing w:val="8"/>
          <w:sz w:val="24"/>
          <w:highlight w:val="yellow"/>
          <w:lang w:val="zh-CN" w:eastAsia="zh-CN"/>
        </w:rPr>
        <w:t>层布置，每层</w:t>
      </w:r>
      <w:r>
        <w:rPr>
          <w:rFonts w:hint="eastAsia" w:ascii="宋体" w:hAnsi="宋体"/>
          <w:spacing w:val="8"/>
          <w:sz w:val="24"/>
          <w:highlight w:val="yellow"/>
          <w:lang w:val="en-US" w:eastAsia="zh-CN"/>
        </w:rPr>
        <w:t>4</w:t>
      </w:r>
      <w:r>
        <w:rPr>
          <w:rFonts w:hint="eastAsia" w:ascii="宋体" w:hAnsi="宋体"/>
          <w:spacing w:val="8"/>
          <w:sz w:val="24"/>
          <w:highlight w:val="yellow"/>
          <w:lang w:val="zh-CN" w:eastAsia="zh-CN"/>
        </w:rPr>
        <w:t>根，</w:t>
      </w:r>
      <w:r>
        <w:rPr>
          <w:rFonts w:hint="eastAsia" w:ascii="宋体" w:hAnsi="宋体"/>
          <w:spacing w:val="8"/>
          <w:sz w:val="24"/>
          <w:highlight w:val="yellow"/>
          <w:lang w:val="en-US" w:eastAsia="zh-CN"/>
        </w:rPr>
        <w:t>排管需用管枕固定，每2米设置一处。</w:t>
      </w:r>
      <w:r>
        <w:rPr>
          <w:rFonts w:hint="eastAsia" w:ascii="宋体" w:hAnsi="宋体"/>
          <w:spacing w:val="8"/>
          <w:sz w:val="24"/>
          <w:highlight w:val="green"/>
          <w:lang w:val="zh-CN" w:eastAsia="zh-CN"/>
        </w:rPr>
        <w:t>管顶距</w:t>
      </w:r>
      <w:r>
        <w:rPr>
          <w:rFonts w:hint="eastAsia" w:ascii="宋体" w:hAnsi="宋体"/>
          <w:spacing w:val="8"/>
          <w:sz w:val="24"/>
          <w:highlight w:val="green"/>
          <w:lang w:val="en-US" w:eastAsia="zh-CN"/>
        </w:rPr>
        <w:t>人行道</w:t>
      </w:r>
      <w:r>
        <w:rPr>
          <w:rFonts w:hint="eastAsia" w:ascii="宋体" w:hAnsi="宋体"/>
          <w:spacing w:val="8"/>
          <w:sz w:val="24"/>
          <w:highlight w:val="green"/>
          <w:lang w:val="zh-CN" w:eastAsia="zh-CN"/>
        </w:rPr>
        <w:t>最低点不应小于</w:t>
      </w:r>
      <w:r>
        <w:rPr>
          <w:rFonts w:hint="eastAsia" w:ascii="宋体" w:hAnsi="宋体"/>
          <w:spacing w:val="8"/>
          <w:sz w:val="24"/>
          <w:highlight w:val="green"/>
          <w:lang w:val="en-US" w:eastAsia="zh-CN"/>
        </w:rPr>
        <w:t>0.7</w:t>
      </w:r>
      <w:r>
        <w:rPr>
          <w:rFonts w:hint="eastAsia" w:ascii="宋体" w:hAnsi="宋体"/>
          <w:spacing w:val="8"/>
          <w:sz w:val="24"/>
          <w:highlight w:val="green"/>
          <w:lang w:val="zh-CN" w:eastAsia="zh-CN"/>
        </w:rPr>
        <w:t>m；管顶距机动车道最低点不应小于</w:t>
      </w:r>
      <w:r>
        <w:rPr>
          <w:rFonts w:hint="eastAsia" w:ascii="宋体" w:hAnsi="宋体"/>
          <w:spacing w:val="8"/>
          <w:sz w:val="24"/>
          <w:highlight w:val="green"/>
          <w:lang w:val="en-US" w:eastAsia="zh-CN"/>
        </w:rPr>
        <w:t>1.0</w:t>
      </w:r>
      <w:r>
        <w:rPr>
          <w:rFonts w:hint="eastAsia" w:ascii="宋体" w:hAnsi="宋体"/>
          <w:spacing w:val="8"/>
          <w:sz w:val="24"/>
          <w:highlight w:val="green"/>
          <w:lang w:val="zh-CN" w:eastAsia="zh-CN"/>
        </w:rPr>
        <w:t>m。</w:t>
      </w:r>
    </w:p>
    <w:p w14:paraId="480006A4">
      <w:pPr>
        <w:keepNext w:val="0"/>
        <w:keepLines w:val="0"/>
        <w:pageBreakBefore w:val="0"/>
        <w:widowControl w:val="0"/>
        <w:tabs>
          <w:tab w:val="left" w:pos="180"/>
        </w:tabs>
        <w:kinsoku/>
        <w:wordWrap/>
        <w:overflowPunct/>
        <w:topLinePunct w:val="0"/>
        <w:autoSpaceDE/>
        <w:autoSpaceDN/>
        <w:bidi w:val="0"/>
        <w:adjustRightInd/>
        <w:snapToGrid/>
        <w:spacing w:line="360" w:lineRule="auto"/>
        <w:ind w:firstLine="512" w:firstLineChars="200"/>
        <w:textAlignment w:val="auto"/>
        <w:rPr>
          <w:rFonts w:hint="default" w:ascii="宋体" w:hAnsi="宋体"/>
          <w:spacing w:val="8"/>
          <w:sz w:val="24"/>
          <w:highlight w:val="yellow"/>
          <w:lang w:val="en-US" w:eastAsia="zh-CN"/>
        </w:rPr>
      </w:pPr>
      <w:r>
        <w:rPr>
          <w:rFonts w:hint="eastAsia" w:ascii="宋体" w:hAnsi="宋体"/>
          <w:spacing w:val="8"/>
          <w:sz w:val="24"/>
          <w:highlight w:val="yellow"/>
          <w:lang w:val="en-US" w:eastAsia="zh-CN"/>
        </w:rPr>
        <w:t>管材采用MPP(改性聚丙烯）管，MPP管规格为Φ180mm×10 mm (外径180mm，壁厚10mm）。</w:t>
      </w:r>
      <w:r>
        <w:rPr>
          <w:rFonts w:hint="eastAsia" w:ascii="宋体" w:hAnsi="宋体"/>
          <w:spacing w:val="8"/>
          <w:sz w:val="24"/>
          <w:highlight w:val="green"/>
          <w:lang w:val="en-US" w:eastAsia="zh-CN"/>
        </w:rPr>
        <w:t>MPP管</w:t>
      </w:r>
      <w:r>
        <w:rPr>
          <w:rFonts w:hint="eastAsia"/>
          <w:sz w:val="24"/>
          <w:szCs w:val="24"/>
          <w:highlight w:val="green"/>
          <w:lang w:val="en-US" w:eastAsia="zh-CN"/>
        </w:rPr>
        <w:t>管道连接</w:t>
      </w:r>
      <w:r>
        <w:rPr>
          <w:rFonts w:hint="eastAsia" w:ascii="宋体" w:hAnsi="宋体"/>
          <w:spacing w:val="8"/>
          <w:sz w:val="24"/>
          <w:highlight w:val="green"/>
          <w:lang w:val="en-US" w:eastAsia="zh-CN"/>
        </w:rPr>
        <w:t>采用焊接连接。</w:t>
      </w:r>
    </w:p>
    <w:p w14:paraId="1B168475">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yellow"/>
          <w:lang w:val="en-US" w:eastAsia="zh-CN"/>
        </w:rPr>
      </w:pPr>
      <w:r>
        <w:rPr>
          <w:rFonts w:hint="eastAsia"/>
          <w:sz w:val="24"/>
          <w:szCs w:val="24"/>
          <w:highlight w:val="yellow"/>
          <w:lang w:val="en-US" w:eastAsia="zh-CN"/>
        </w:rPr>
        <w:t>通道始末端处设置三通井与衔接路段连通，若衔接路段尚未建设则为后期管线衔接预留接口。</w:t>
      </w:r>
    </w:p>
    <w:p w14:paraId="165EEBFB">
      <w:pPr>
        <w:keepNext w:val="0"/>
        <w:keepLines w:val="0"/>
        <w:pageBreakBefore w:val="0"/>
        <w:widowControl w:val="0"/>
        <w:tabs>
          <w:tab w:val="left" w:pos="180"/>
        </w:tabs>
        <w:kinsoku/>
        <w:wordWrap/>
        <w:overflowPunct/>
        <w:topLinePunct w:val="0"/>
        <w:autoSpaceDE/>
        <w:autoSpaceDN/>
        <w:bidi w:val="0"/>
        <w:adjustRightInd/>
        <w:snapToGrid/>
        <w:spacing w:line="360" w:lineRule="auto"/>
        <w:ind w:firstLine="512" w:firstLineChars="200"/>
        <w:textAlignment w:val="auto"/>
        <w:rPr>
          <w:rFonts w:hint="eastAsia" w:ascii="宋体" w:hAnsi="宋体"/>
          <w:spacing w:val="8"/>
          <w:sz w:val="24"/>
          <w:highlight w:val="green"/>
          <w:lang w:val="en-US" w:eastAsia="zh-CN"/>
        </w:rPr>
      </w:pPr>
      <w:r>
        <w:rPr>
          <w:rFonts w:hint="eastAsia" w:ascii="宋体" w:hAnsi="宋体"/>
          <w:spacing w:val="8"/>
          <w:sz w:val="24"/>
          <w:highlight w:val="green"/>
          <w:lang w:val="en-US" w:eastAsia="zh-CN"/>
        </w:rPr>
        <w:t>垫层地基土的容许承载力≤80kN/m2时，垫层需做加固处理。</w:t>
      </w:r>
    </w:p>
    <w:p w14:paraId="227F5F74">
      <w:pPr>
        <w:pStyle w:val="4"/>
        <w:pageBreakBefore w:val="0"/>
        <w:kinsoku/>
        <w:overflowPunct/>
        <w:bidi w:val="0"/>
        <w:spacing w:beforeAutospacing="0" w:afterAutospacing="0" w:line="360" w:lineRule="auto"/>
        <w:ind w:left="0" w:leftChars="0" w:right="0" w:rightChars="0"/>
        <w:rPr>
          <w:rFonts w:hint="default"/>
          <w:sz w:val="28"/>
          <w:szCs w:val="28"/>
          <w:highlight w:val="green"/>
          <w:lang w:val="en-US" w:eastAsia="zh-CN"/>
        </w:rPr>
      </w:pPr>
      <w:r>
        <w:rPr>
          <w:rFonts w:hint="eastAsia"/>
          <w:sz w:val="28"/>
          <w:szCs w:val="28"/>
          <w:highlight w:val="green"/>
          <w:lang w:val="en-US" w:eastAsia="zh-CN"/>
        </w:rPr>
        <w:t>3.3.3 横过路管</w:t>
      </w:r>
    </w:p>
    <w:p w14:paraId="29AD3463">
      <w:pPr>
        <w:tabs>
          <w:tab w:val="left" w:pos="180"/>
        </w:tabs>
        <w:spacing w:line="360" w:lineRule="auto"/>
        <w:ind w:firstLine="512" w:firstLineChars="200"/>
        <w:rPr>
          <w:rFonts w:hint="eastAsia" w:ascii="宋体" w:hAnsi="宋体"/>
          <w:spacing w:val="8"/>
          <w:sz w:val="24"/>
          <w:highlight w:val="none"/>
        </w:rPr>
      </w:pPr>
      <w:r>
        <w:rPr>
          <w:rFonts w:hint="eastAsia" w:ascii="宋体" w:hAnsi="宋体"/>
          <w:spacing w:val="8"/>
          <w:sz w:val="24"/>
          <w:highlight w:val="none"/>
          <w:lang w:val="en-US" w:eastAsia="zh-CN"/>
        </w:rPr>
        <w:t>间隔200米左右设置横过路电缆排管备用，以解决</w:t>
      </w:r>
      <w:r>
        <w:rPr>
          <w:rFonts w:hint="eastAsia" w:ascii="宋体" w:hAnsi="宋体"/>
          <w:spacing w:val="8"/>
          <w:sz w:val="24"/>
          <w:highlight w:val="cyan"/>
          <w:lang w:val="en-US" w:eastAsia="zh-CN"/>
        </w:rPr>
        <w:t>南侧用户</w:t>
      </w:r>
      <w:r>
        <w:rPr>
          <w:rFonts w:hint="eastAsia" w:ascii="宋体" w:hAnsi="宋体"/>
          <w:spacing w:val="8"/>
          <w:sz w:val="24"/>
          <w:highlight w:val="none"/>
          <w:lang w:val="en-US" w:eastAsia="zh-CN"/>
        </w:rPr>
        <w:t>的用电需求，横过路电力排管为6 MPP实壁管 Ø180/10，采用</w:t>
      </w:r>
      <w:r>
        <w:rPr>
          <w:rFonts w:hint="eastAsia" w:ascii="宋体" w:hAnsi="宋体"/>
          <w:spacing w:val="8"/>
          <w:sz w:val="24"/>
          <w:highlight w:val="none"/>
        </w:rPr>
        <w:t>混凝土包封保护。</w:t>
      </w:r>
    </w:p>
    <w:p w14:paraId="4641E22E">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电力排管管材采用MPP（改性聚丙烯）管，MPP管规格为Φ180mm×10 mm （外径180mm，壁厚10mm），环刚度不小于25。</w:t>
      </w:r>
    </w:p>
    <w:p w14:paraId="12A21E2D">
      <w:pPr>
        <w:pStyle w:val="4"/>
        <w:pageBreakBefore w:val="0"/>
        <w:kinsoku/>
        <w:overflowPunct/>
        <w:bidi w:val="0"/>
        <w:spacing w:beforeAutospacing="0" w:afterAutospacing="0" w:line="360" w:lineRule="auto"/>
        <w:ind w:left="0" w:leftChars="0" w:right="0" w:rightChars="0"/>
        <w:rPr>
          <w:rFonts w:hint="eastAsia"/>
          <w:sz w:val="28"/>
          <w:szCs w:val="28"/>
          <w:highlight w:val="green"/>
          <w:lang w:val="en-US" w:eastAsia="zh-CN"/>
        </w:rPr>
      </w:pPr>
      <w:r>
        <w:rPr>
          <w:rFonts w:hint="eastAsia"/>
          <w:sz w:val="28"/>
          <w:szCs w:val="28"/>
          <w:highlight w:val="green"/>
          <w:lang w:val="en-US" w:eastAsia="zh-CN"/>
        </w:rPr>
        <w:t>3.3.4 电力井</w:t>
      </w:r>
    </w:p>
    <w:p w14:paraId="57B179B2">
      <w:pPr>
        <w:tabs>
          <w:tab w:val="left" w:pos="180"/>
        </w:tabs>
        <w:spacing w:line="360" w:lineRule="auto"/>
        <w:ind w:firstLine="512" w:firstLineChars="200"/>
        <w:rPr>
          <w:rFonts w:hint="eastAsia" w:ascii="宋体" w:hAnsi="宋体"/>
          <w:spacing w:val="8"/>
          <w:sz w:val="24"/>
          <w:highlight w:val="magenta"/>
          <w:lang w:val="en-US" w:eastAsia="zh-CN"/>
        </w:rPr>
      </w:pPr>
      <w:r>
        <w:rPr>
          <w:rFonts w:hint="eastAsia" w:ascii="宋体" w:hAnsi="宋体"/>
          <w:spacing w:val="8"/>
          <w:sz w:val="24"/>
          <w:highlight w:val="magenta"/>
          <w:lang w:val="en-US" w:eastAsia="zh-CN"/>
        </w:rPr>
        <w:t>为便于缆线穿放、引出、分支，以及施工和今后维护检修的需要，电力排管每隔60米左右设置电力直通井，交叉路口处和横过道路处依情况设置电力三通井。电力井采用砖砌结构，参照南方电网标准图集施工。</w:t>
      </w:r>
    </w:p>
    <w:p w14:paraId="2287C20A">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电力井按天然地基承载力标准值fak≥120kPa设计,施工时若发现土质的实际情况与设计要求不符，须通知设计人员及地质勘察人员共同研究处理。</w:t>
      </w:r>
    </w:p>
    <w:p w14:paraId="2A8FADBC">
      <w:pPr>
        <w:tabs>
          <w:tab w:val="left" w:pos="180"/>
        </w:tabs>
        <w:spacing w:line="360" w:lineRule="auto"/>
        <w:ind w:firstLine="512" w:firstLineChars="200"/>
        <w:rPr>
          <w:rFonts w:hint="eastAsia" w:ascii="宋体" w:hAnsi="宋体"/>
          <w:spacing w:val="8"/>
          <w:sz w:val="24"/>
          <w:highlight w:val="yellow"/>
          <w:lang w:val="en-US" w:eastAsia="zh-CN"/>
        </w:rPr>
      </w:pPr>
      <w:r>
        <w:rPr>
          <w:rFonts w:hint="eastAsia" w:ascii="宋体" w:hAnsi="宋体"/>
          <w:spacing w:val="8"/>
          <w:sz w:val="24"/>
          <w:highlight w:val="yellow"/>
          <w:lang w:val="en-US" w:eastAsia="zh-CN"/>
        </w:rPr>
        <w:t>为避免排管在使用时被泥堵塞致使无法正常使用，造成浪费。在电力井处用管盖封闭排管口。</w:t>
      </w:r>
    </w:p>
    <w:p w14:paraId="2D701AE3">
      <w:pPr>
        <w:pStyle w:val="4"/>
        <w:pageBreakBefore w:val="0"/>
        <w:kinsoku/>
        <w:overflowPunct/>
        <w:bidi w:val="0"/>
        <w:spacing w:beforeAutospacing="0" w:afterAutospacing="0" w:line="360" w:lineRule="auto"/>
        <w:ind w:left="0" w:leftChars="0" w:right="0" w:rightChars="0"/>
        <w:rPr>
          <w:rFonts w:hint="default" w:eastAsia="宋体"/>
          <w:sz w:val="28"/>
          <w:szCs w:val="28"/>
          <w:highlight w:val="none"/>
          <w:lang w:val="en-US" w:eastAsia="zh-CN"/>
        </w:rPr>
      </w:pPr>
      <w:r>
        <w:rPr>
          <w:rFonts w:hint="eastAsia"/>
          <w:sz w:val="28"/>
          <w:szCs w:val="28"/>
          <w:highlight w:val="none"/>
          <w:lang w:val="en-US" w:eastAsia="zh-CN"/>
        </w:rPr>
        <w:t>3</w:t>
      </w:r>
      <w:r>
        <w:rPr>
          <w:rFonts w:hint="eastAsia" w:eastAsia="宋体"/>
          <w:sz w:val="28"/>
          <w:szCs w:val="28"/>
          <w:highlight w:val="none"/>
          <w:lang w:val="en-US" w:eastAsia="zh-CN"/>
        </w:rPr>
        <w:t>.</w:t>
      </w:r>
      <w:r>
        <w:rPr>
          <w:rFonts w:hint="eastAsia"/>
          <w:sz w:val="28"/>
          <w:szCs w:val="28"/>
          <w:highlight w:val="none"/>
          <w:lang w:val="en-US" w:eastAsia="zh-CN"/>
        </w:rPr>
        <w:t>3</w:t>
      </w:r>
      <w:r>
        <w:rPr>
          <w:rFonts w:hint="eastAsia" w:eastAsia="宋体"/>
          <w:sz w:val="28"/>
          <w:szCs w:val="28"/>
          <w:highlight w:val="none"/>
          <w:lang w:val="en-US" w:eastAsia="zh-CN"/>
        </w:rPr>
        <w:t>.</w:t>
      </w:r>
      <w:r>
        <w:rPr>
          <w:rFonts w:hint="eastAsia"/>
          <w:sz w:val="28"/>
          <w:szCs w:val="28"/>
          <w:highlight w:val="none"/>
          <w:lang w:val="en-US" w:eastAsia="zh-CN"/>
        </w:rPr>
        <w:t>4</w:t>
      </w:r>
      <w:r>
        <w:rPr>
          <w:rFonts w:hint="eastAsia" w:eastAsia="宋体"/>
          <w:sz w:val="28"/>
          <w:szCs w:val="28"/>
          <w:highlight w:val="none"/>
          <w:lang w:val="en-US" w:eastAsia="zh-CN"/>
        </w:rPr>
        <w:t xml:space="preserve"> 排水</w:t>
      </w:r>
    </w:p>
    <w:p w14:paraId="402C4DD3">
      <w:pPr>
        <w:tabs>
          <w:tab w:val="left" w:pos="180"/>
        </w:tabs>
        <w:spacing w:line="360" w:lineRule="auto"/>
        <w:ind w:firstLine="512" w:firstLineChars="200"/>
        <w:rPr>
          <w:rFonts w:hint="eastAsia" w:ascii="宋体" w:hAnsi="宋体"/>
          <w:spacing w:val="8"/>
          <w:sz w:val="24"/>
          <w:highlight w:val="yellow"/>
          <w:lang w:val="zh-CN" w:eastAsia="zh-CN"/>
        </w:rPr>
      </w:pPr>
      <w:r>
        <w:rPr>
          <w:rFonts w:hint="eastAsia" w:ascii="宋体" w:hAnsi="宋体"/>
          <w:spacing w:val="8"/>
          <w:sz w:val="24"/>
          <w:highlight w:val="yellow"/>
          <w:lang w:val="en-US" w:eastAsia="zh-CN"/>
        </w:rPr>
        <w:t>电力排管应有倾向电力井侧大于0.2%的排水纵坡，以利渗入管道内的地下水流向电力井，在电力井内设集水坑，集水坑做法详见图集07SD101-8第127页。</w:t>
      </w:r>
    </w:p>
    <w:p w14:paraId="32005D24">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 xml:space="preserve"> </w:t>
      </w:r>
    </w:p>
    <w:p w14:paraId="3BCCED36">
      <w:pPr>
        <w:pStyle w:val="4"/>
        <w:pageBreakBefore w:val="0"/>
        <w:kinsoku/>
        <w:overflowPunct/>
        <w:bidi w:val="0"/>
        <w:spacing w:beforeAutospacing="0" w:afterAutospacing="0" w:line="360" w:lineRule="auto"/>
        <w:ind w:left="0" w:leftChars="0" w:right="0" w:rightChars="0"/>
        <w:rPr>
          <w:rFonts w:hint="default"/>
          <w:sz w:val="28"/>
          <w:szCs w:val="28"/>
          <w:highlight w:val="none"/>
          <w:lang w:val="en-US" w:eastAsia="zh-CN"/>
        </w:rPr>
      </w:pPr>
      <w:r>
        <w:rPr>
          <w:rFonts w:hint="eastAsia"/>
          <w:sz w:val="28"/>
          <w:szCs w:val="28"/>
          <w:highlight w:val="none"/>
          <w:lang w:val="en-US" w:eastAsia="zh-CN"/>
        </w:rPr>
        <w:t>3.3.5 接地要求</w:t>
      </w:r>
    </w:p>
    <w:p w14:paraId="1ACE6FCD">
      <w:pPr>
        <w:tabs>
          <w:tab w:val="left" w:pos="180"/>
        </w:tabs>
        <w:spacing w:line="360" w:lineRule="auto"/>
        <w:ind w:firstLine="512" w:firstLineChars="200"/>
        <w:rPr>
          <w:rFonts w:hint="eastAsia" w:ascii="宋体" w:hAnsi="宋体"/>
          <w:spacing w:val="8"/>
          <w:sz w:val="24"/>
          <w:highlight w:val="yellow"/>
          <w:lang w:val="en-US" w:eastAsia="zh-CN"/>
        </w:rPr>
      </w:pPr>
      <w:r>
        <w:rPr>
          <w:rFonts w:hint="eastAsia" w:ascii="宋体" w:hAnsi="宋体"/>
          <w:spacing w:val="8"/>
          <w:sz w:val="24"/>
          <w:highlight w:val="yellow"/>
          <w:lang w:val="en-US" w:eastAsia="zh-CN"/>
        </w:rPr>
        <w:t>每个电缆井设接地装置，安装在电缆井内的金属构件均应用</w:t>
      </w:r>
      <w:r>
        <w:rPr>
          <w:rFonts w:hint="eastAsia" w:ascii="宋体" w:hAnsi="宋体"/>
          <w:spacing w:val="8"/>
          <w:sz w:val="24"/>
          <w:highlight w:val="green"/>
          <w:lang w:val="en-US" w:eastAsia="zh-CN"/>
        </w:rPr>
        <w:t>不锈钢扁钢与接地装置</w:t>
      </w:r>
      <w:r>
        <w:rPr>
          <w:rFonts w:hint="eastAsia" w:ascii="宋体" w:hAnsi="宋体"/>
          <w:spacing w:val="8"/>
          <w:sz w:val="24"/>
          <w:highlight w:val="yellow"/>
          <w:lang w:val="en-US" w:eastAsia="zh-CN"/>
        </w:rPr>
        <w:t>连接，要求重复接地电阻不大于4Ω，不满足要求时，增设接地装置。</w:t>
      </w:r>
    </w:p>
    <w:bookmarkEnd w:id="17"/>
    <w:bookmarkEnd w:id="18"/>
    <w:bookmarkEnd w:id="19"/>
    <w:bookmarkEnd w:id="20"/>
    <w:bookmarkEnd w:id="21"/>
    <w:bookmarkEnd w:id="22"/>
    <w:bookmarkEnd w:id="23"/>
    <w:bookmarkEnd w:id="24"/>
    <w:bookmarkEnd w:id="25"/>
    <w:p w14:paraId="104828F7">
      <w:pPr>
        <w:pStyle w:val="2"/>
        <w:pageBreakBefore w:val="0"/>
        <w:kinsoku/>
        <w:overflowPunct/>
        <w:bidi w:val="0"/>
        <w:spacing w:before="0" w:beforeLines="0" w:beforeAutospacing="0" w:after="0" w:afterLines="0" w:afterAutospacing="0" w:line="360" w:lineRule="auto"/>
        <w:ind w:left="0" w:leftChars="0" w:right="0" w:rightChars="0"/>
        <w:rPr>
          <w:rFonts w:hint="eastAsia"/>
          <w:highlight w:val="none"/>
          <w:lang w:val="en-US" w:eastAsia="zh-CN"/>
        </w:rPr>
      </w:pPr>
      <w:r>
        <w:rPr>
          <w:rFonts w:hint="eastAsia"/>
          <w:highlight w:val="none"/>
          <w:lang w:val="en-US" w:eastAsia="zh-CN"/>
        </w:rPr>
        <w:t>4、通信工程</w:t>
      </w:r>
    </w:p>
    <w:p w14:paraId="41763702">
      <w:pPr>
        <w:pStyle w:val="3"/>
        <w:pageBreakBefore w:val="0"/>
        <w:kinsoku/>
        <w:overflowPunct/>
        <w:bidi w:val="0"/>
        <w:spacing w:before="0" w:beforeLines="0" w:beforeAutospacing="0" w:after="0" w:afterLines="0" w:afterAutospacing="0" w:line="360" w:lineRule="auto"/>
        <w:ind w:left="0" w:leftChars="0" w:right="0" w:rightChars="0"/>
        <w:rPr>
          <w:rFonts w:hint="eastAsia" w:ascii="Arial" w:hAnsi="Arial" w:eastAsia="宋体"/>
          <w:szCs w:val="22"/>
          <w:highlight w:val="none"/>
          <w:lang w:val="en-US" w:eastAsia="zh-CN"/>
        </w:rPr>
      </w:pPr>
      <w:r>
        <w:rPr>
          <w:rFonts w:hint="eastAsia" w:ascii="Arial" w:hAnsi="Arial"/>
          <w:szCs w:val="22"/>
          <w:highlight w:val="none"/>
          <w:lang w:val="en-US" w:eastAsia="zh-CN"/>
        </w:rPr>
        <w:t>4</w:t>
      </w:r>
      <w:r>
        <w:rPr>
          <w:rFonts w:hint="eastAsia" w:ascii="Arial" w:hAnsi="Arial" w:eastAsia="宋体"/>
          <w:szCs w:val="22"/>
          <w:highlight w:val="none"/>
          <w:lang w:val="en-US" w:eastAsia="zh-CN"/>
        </w:rPr>
        <w:t>.1</w:t>
      </w:r>
      <w:r>
        <w:rPr>
          <w:rFonts w:hint="eastAsia" w:ascii="Arial" w:hAnsi="Arial"/>
          <w:szCs w:val="22"/>
          <w:highlight w:val="none"/>
          <w:lang w:val="en-US" w:eastAsia="zh-CN"/>
        </w:rPr>
        <w:t>设计范围及内容</w:t>
      </w:r>
    </w:p>
    <w:p w14:paraId="15E1F922">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通信工程设计范围为：同道路设计范围。</w:t>
      </w:r>
    </w:p>
    <w:p w14:paraId="01DB693B">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设计内容：包括工程范围内配套通信管道。</w:t>
      </w:r>
    </w:p>
    <w:p w14:paraId="162396D0">
      <w:pPr>
        <w:pStyle w:val="3"/>
        <w:pageBreakBefore w:val="0"/>
        <w:kinsoku/>
        <w:overflowPunct/>
        <w:bidi w:val="0"/>
        <w:spacing w:before="0" w:beforeLines="0" w:beforeAutospacing="0" w:after="0" w:afterLines="0" w:afterAutospacing="0" w:line="360" w:lineRule="auto"/>
        <w:ind w:left="0" w:leftChars="0" w:right="0" w:rightChars="0"/>
        <w:rPr>
          <w:rFonts w:hint="eastAsia" w:ascii="Arial" w:hAnsi="Arial"/>
          <w:szCs w:val="22"/>
          <w:highlight w:val="none"/>
          <w:lang w:val="en-US" w:eastAsia="zh-CN"/>
        </w:rPr>
      </w:pPr>
      <w:r>
        <w:rPr>
          <w:rFonts w:hint="eastAsia" w:ascii="Arial" w:hAnsi="Arial"/>
          <w:szCs w:val="22"/>
          <w:highlight w:val="none"/>
          <w:lang w:val="en-US" w:eastAsia="zh-CN"/>
        </w:rPr>
        <w:t>4.2初设执行情况</w:t>
      </w:r>
    </w:p>
    <w:p w14:paraId="1B2BC2B9">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本设计通信工程内容与初设一致。</w:t>
      </w:r>
    </w:p>
    <w:p w14:paraId="099CE59C">
      <w:pPr>
        <w:pStyle w:val="3"/>
        <w:pageBreakBefore w:val="0"/>
        <w:kinsoku/>
        <w:overflowPunct/>
        <w:bidi w:val="0"/>
        <w:spacing w:before="0" w:beforeLines="0" w:beforeAutospacing="0" w:after="0" w:afterLines="0" w:afterAutospacing="0" w:line="360" w:lineRule="auto"/>
        <w:ind w:left="0" w:leftChars="0" w:right="0" w:rightChars="0"/>
        <w:rPr>
          <w:rFonts w:hint="eastAsia" w:ascii="Arial" w:hAnsi="Arial" w:eastAsia="宋体"/>
          <w:szCs w:val="22"/>
          <w:highlight w:val="none"/>
          <w:lang w:val="en-US" w:eastAsia="zh-CN"/>
        </w:rPr>
      </w:pPr>
      <w:r>
        <w:rPr>
          <w:rFonts w:hint="eastAsia" w:ascii="Arial" w:hAnsi="Arial"/>
          <w:szCs w:val="22"/>
          <w:highlight w:val="none"/>
          <w:lang w:val="en-US" w:eastAsia="zh-CN"/>
        </w:rPr>
        <w:t>4</w:t>
      </w:r>
      <w:r>
        <w:rPr>
          <w:rFonts w:hint="eastAsia" w:ascii="Arial" w:hAnsi="Arial" w:eastAsia="宋体"/>
          <w:szCs w:val="22"/>
          <w:highlight w:val="none"/>
          <w:lang w:val="en-US" w:eastAsia="zh-CN"/>
        </w:rPr>
        <w:t>.3通信工程设计</w:t>
      </w:r>
    </w:p>
    <w:p w14:paraId="3F632B80">
      <w:pPr>
        <w:tabs>
          <w:tab w:val="left" w:pos="180"/>
        </w:tabs>
        <w:spacing w:line="360" w:lineRule="auto"/>
        <w:ind w:firstLine="482" w:firstLineChars="200"/>
        <w:rPr>
          <w:rFonts w:hint="default" w:ascii="Times New Roman" w:hAnsi="Times New Roman" w:eastAsia="宋体" w:cstheme="minorBidi"/>
          <w:b/>
          <w:spacing w:val="0"/>
          <w:kern w:val="2"/>
          <w:sz w:val="24"/>
          <w:szCs w:val="22"/>
          <w:highlight w:val="green"/>
          <w:lang w:val="en-US" w:eastAsia="zh-CN" w:bidi="ar-SA"/>
        </w:rPr>
      </w:pPr>
      <w:r>
        <w:rPr>
          <w:rFonts w:hint="eastAsia" w:ascii="Times New Roman" w:hAnsi="Times New Roman" w:eastAsia="宋体" w:cstheme="minorBidi"/>
          <w:b/>
          <w:spacing w:val="0"/>
          <w:kern w:val="2"/>
          <w:sz w:val="24"/>
          <w:szCs w:val="22"/>
          <w:highlight w:val="green"/>
          <w:lang w:val="en-US" w:eastAsia="zh-CN" w:bidi="ar-SA"/>
        </w:rPr>
        <w:t>4.3.1通信工程规划分析</w:t>
      </w:r>
    </w:p>
    <w:p w14:paraId="0A93BFE6">
      <w:pPr>
        <w:tabs>
          <w:tab w:val="left" w:pos="180"/>
        </w:tabs>
        <w:spacing w:line="360" w:lineRule="auto"/>
        <w:ind w:firstLine="512" w:firstLineChars="200"/>
        <w:rPr>
          <w:rFonts w:hint="eastAsia" w:ascii="宋体" w:hAnsi="宋体"/>
          <w:b w:val="0"/>
          <w:bCs w:val="0"/>
          <w:spacing w:val="8"/>
          <w:sz w:val="24"/>
          <w:highlight w:val="green"/>
          <w:lang w:val="en-US" w:eastAsia="zh-CN"/>
        </w:rPr>
      </w:pPr>
      <w:r>
        <w:rPr>
          <w:rFonts w:hint="eastAsia" w:ascii="宋体" w:hAnsi="宋体"/>
          <w:b w:val="0"/>
          <w:bCs w:val="0"/>
          <w:spacing w:val="8"/>
          <w:sz w:val="24"/>
          <w:highlight w:val="green"/>
          <w:lang w:val="en-US" w:eastAsia="zh-CN"/>
        </w:rPr>
        <w:t>根据《</w:t>
      </w:r>
      <w:r>
        <w:rPr>
          <w:rFonts w:hint="eastAsia" w:ascii="宋体" w:hAnsi="宋体"/>
          <w:spacing w:val="8"/>
          <w:sz w:val="24"/>
          <w:highlight w:val="green"/>
          <w:lang w:val="en-US" w:eastAsia="zh-CN"/>
        </w:rPr>
        <w:t>文昌市中心城区清澜.高隆湾片区控制性规划</w:t>
      </w:r>
      <w:r>
        <w:rPr>
          <w:rFonts w:hint="eastAsia" w:ascii="宋体" w:hAnsi="宋体"/>
          <w:b w:val="0"/>
          <w:bCs w:val="0"/>
          <w:spacing w:val="8"/>
          <w:sz w:val="24"/>
          <w:highlight w:val="green"/>
          <w:lang w:val="en-US" w:eastAsia="zh-CN"/>
        </w:rPr>
        <w:t>——通信工程规划图》，</w:t>
      </w:r>
      <w:r>
        <w:rPr>
          <w:rFonts w:hint="eastAsia" w:ascii="宋体" w:hAnsi="宋体"/>
          <w:spacing w:val="8"/>
          <w:sz w:val="24"/>
          <w:highlight w:val="green"/>
          <w:lang w:val="en-US" w:eastAsia="zh-CN"/>
        </w:rPr>
        <w:t>本项目</w:t>
      </w:r>
      <w:r>
        <w:rPr>
          <w:rFonts w:hint="eastAsia" w:ascii="宋体" w:hAnsi="宋体"/>
          <w:b w:val="0"/>
          <w:bCs w:val="0"/>
          <w:spacing w:val="8"/>
          <w:sz w:val="24"/>
          <w:highlight w:val="green"/>
          <w:lang w:val="en-US" w:eastAsia="zh-CN"/>
        </w:rPr>
        <w:t>通信</w:t>
      </w:r>
      <w:bookmarkStart w:id="30" w:name="_GoBack"/>
      <w:bookmarkEnd w:id="30"/>
      <w:r>
        <w:rPr>
          <w:rFonts w:hint="eastAsia" w:ascii="宋体" w:hAnsi="宋体"/>
          <w:b w:val="0"/>
          <w:bCs w:val="0"/>
          <w:spacing w:val="8"/>
          <w:sz w:val="24"/>
          <w:highlight w:val="green"/>
          <w:lang w:val="en-US" w:eastAsia="zh-CN"/>
        </w:rPr>
        <w:t>工程规划为12孔。</w:t>
      </w:r>
    </w:p>
    <w:p w14:paraId="03EEB5D9">
      <w:pPr>
        <w:pStyle w:val="4"/>
        <w:pageBreakBefore w:val="0"/>
        <w:kinsoku/>
        <w:overflowPunct/>
        <w:bidi w:val="0"/>
        <w:spacing w:beforeAutospacing="0" w:afterAutospacing="0" w:line="360" w:lineRule="auto"/>
        <w:ind w:left="0" w:leftChars="0" w:right="0" w:rightChars="0"/>
        <w:rPr>
          <w:rFonts w:hint="eastAsia" w:ascii="宋体" w:hAnsi="宋体"/>
          <w:b/>
          <w:bCs/>
          <w:spacing w:val="8"/>
          <w:sz w:val="24"/>
          <w:highlight w:val="yellow"/>
          <w:lang w:val="en-US" w:eastAsia="zh-CN"/>
        </w:rPr>
      </w:pPr>
      <w:r>
        <w:rPr>
          <w:rFonts w:hint="eastAsia" w:ascii="宋体" w:hAnsi="宋体"/>
          <w:b/>
          <w:bCs/>
          <w:spacing w:val="8"/>
          <w:sz w:val="24"/>
          <w:highlight w:val="yellow"/>
          <w:lang w:val="en-US" w:eastAsia="zh-CN"/>
        </w:rPr>
        <w:drawing>
          <wp:inline distT="0" distB="0" distL="114300" distR="114300">
            <wp:extent cx="5440045" cy="6532245"/>
            <wp:effectExtent l="0" t="0" r="0" b="0"/>
            <wp:docPr id="2" name="图片 2" descr="5-07电信工程规划图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07电信工程规划图副本"/>
                    <pic:cNvPicPr>
                      <a:picLocks noChangeAspect="1"/>
                    </pic:cNvPicPr>
                  </pic:nvPicPr>
                  <pic:blipFill>
                    <a:blip r:embed="rId7"/>
                    <a:srcRect l="5870" t="11789" r="6055" b="13396"/>
                    <a:stretch>
                      <a:fillRect/>
                    </a:stretch>
                  </pic:blipFill>
                  <pic:spPr>
                    <a:xfrm>
                      <a:off x="0" y="0"/>
                      <a:ext cx="5440045" cy="6532245"/>
                    </a:xfrm>
                    <a:prstGeom prst="rect">
                      <a:avLst/>
                    </a:prstGeom>
                    <a:noFill/>
                    <a:ln>
                      <a:noFill/>
                    </a:ln>
                  </pic:spPr>
                </pic:pic>
              </a:graphicData>
            </a:graphic>
          </wp:inline>
        </w:drawing>
      </w:r>
    </w:p>
    <w:p w14:paraId="00D1615B">
      <w:pPr>
        <w:pStyle w:val="4"/>
        <w:pageBreakBefore w:val="0"/>
        <w:kinsoku/>
        <w:overflowPunct/>
        <w:bidi w:val="0"/>
        <w:spacing w:beforeAutospacing="0" w:afterAutospacing="0" w:line="360" w:lineRule="auto"/>
        <w:ind w:left="0" w:leftChars="0" w:right="0" w:rightChars="0"/>
        <w:rPr>
          <w:rFonts w:hint="default" w:ascii="Times New Roman" w:hAnsi="Times New Roman" w:eastAsia="宋体"/>
          <w:szCs w:val="22"/>
          <w:highlight w:val="none"/>
          <w:lang w:val="en-US" w:eastAsia="zh-CN"/>
        </w:rPr>
      </w:pPr>
      <w:r>
        <w:rPr>
          <w:rFonts w:hint="eastAsia" w:ascii="Times New Roman" w:hAnsi="Times New Roman"/>
          <w:szCs w:val="22"/>
          <w:highlight w:val="green"/>
          <w:lang w:val="en-US" w:eastAsia="zh-CN"/>
        </w:rPr>
        <w:t>4</w:t>
      </w:r>
      <w:r>
        <w:rPr>
          <w:rFonts w:hint="eastAsia" w:ascii="Times New Roman" w:hAnsi="Times New Roman" w:eastAsia="宋体"/>
          <w:szCs w:val="22"/>
          <w:highlight w:val="green"/>
          <w:lang w:val="en-US" w:eastAsia="zh-CN"/>
        </w:rPr>
        <w:t>.3.</w:t>
      </w:r>
      <w:r>
        <w:rPr>
          <w:rFonts w:hint="eastAsia"/>
          <w:szCs w:val="22"/>
          <w:highlight w:val="green"/>
          <w:lang w:val="en-US" w:eastAsia="zh-CN"/>
        </w:rPr>
        <w:t>2</w:t>
      </w:r>
      <w:r>
        <w:rPr>
          <w:rFonts w:hint="eastAsia" w:ascii="Times New Roman" w:hAnsi="Times New Roman" w:eastAsia="宋体"/>
          <w:szCs w:val="22"/>
          <w:highlight w:val="green"/>
          <w:lang w:val="en-US" w:eastAsia="zh-CN"/>
        </w:rPr>
        <w:t>通信主管</w:t>
      </w:r>
    </w:p>
    <w:p w14:paraId="3A13A76B">
      <w:pPr>
        <w:tabs>
          <w:tab w:val="left" w:pos="180"/>
        </w:tabs>
        <w:spacing w:line="360" w:lineRule="auto"/>
        <w:ind w:firstLine="512" w:firstLineChars="200"/>
        <w:rPr>
          <w:rFonts w:hint="eastAsia" w:ascii="宋体" w:hAnsi="宋体"/>
          <w:b w:val="0"/>
          <w:bCs w:val="0"/>
          <w:spacing w:val="8"/>
          <w:sz w:val="24"/>
          <w:highlight w:val="none"/>
          <w:lang w:val="en-US" w:eastAsia="zh-CN"/>
        </w:rPr>
      </w:pPr>
      <w:r>
        <w:rPr>
          <w:rFonts w:hint="eastAsia" w:ascii="宋体" w:hAnsi="宋体"/>
          <w:b w:val="0"/>
          <w:bCs w:val="0"/>
          <w:spacing w:val="8"/>
          <w:sz w:val="24"/>
          <w:highlight w:val="none"/>
          <w:lang w:val="en-US" w:eastAsia="zh-CN"/>
        </w:rPr>
        <w:t>本次设计通信管道按规划设置，通信管群规格为PVC-U－4×3 Φ110，分3层布置，每层4根；设置在道路北侧人行道下，通信管群管顶距人行道最低点不应小于0.7m。</w:t>
      </w:r>
    </w:p>
    <w:p w14:paraId="23907023">
      <w:pPr>
        <w:tabs>
          <w:tab w:val="left" w:pos="180"/>
        </w:tabs>
        <w:spacing w:line="360" w:lineRule="auto"/>
        <w:ind w:firstLine="512" w:firstLineChars="200"/>
        <w:rPr>
          <w:rFonts w:hint="eastAsia" w:ascii="宋体" w:hAnsi="宋体"/>
          <w:b w:val="0"/>
          <w:bCs w:val="0"/>
          <w:spacing w:val="8"/>
          <w:sz w:val="24"/>
          <w:highlight w:val="none"/>
          <w:lang w:val="en-US" w:eastAsia="zh-CN"/>
        </w:rPr>
      </w:pPr>
      <w:r>
        <w:rPr>
          <w:rFonts w:hint="eastAsia" w:ascii="宋体" w:hAnsi="宋体"/>
          <w:b w:val="0"/>
          <w:bCs w:val="0"/>
          <w:spacing w:val="8"/>
          <w:sz w:val="24"/>
          <w:highlight w:val="none"/>
          <w:lang w:val="en-US" w:eastAsia="zh-CN"/>
        </w:rPr>
        <w:t>通信排管管材采用PVC-U实壁管，PVC-U实壁管规格为Φ110mm×3.2 mm (外径110mm，壁厚3.2.mm）。</w:t>
      </w:r>
    </w:p>
    <w:p w14:paraId="5E09D6CC">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ascii="宋体" w:hAnsi="宋体"/>
          <w:b w:val="0"/>
          <w:bCs w:val="0"/>
          <w:spacing w:val="8"/>
          <w:sz w:val="24"/>
          <w:highlight w:val="green"/>
          <w:lang w:val="en-US" w:eastAsia="zh-CN"/>
        </w:rPr>
        <w:t>PVC-U</w:t>
      </w:r>
      <w:r>
        <w:rPr>
          <w:rFonts w:hint="eastAsia"/>
          <w:sz w:val="24"/>
          <w:szCs w:val="24"/>
          <w:highlight w:val="green"/>
          <w:lang w:val="en-US" w:eastAsia="zh-CN"/>
        </w:rPr>
        <w:t>管道连接采用承插弹性密封圈连接，承插管接头的长度不小于200mm。塑料管应插到底，挤压固定。不同管孔的接头应相互错开。</w:t>
      </w:r>
    </w:p>
    <w:p w14:paraId="682A0780">
      <w:pPr>
        <w:keepNext w:val="0"/>
        <w:keepLines w:val="0"/>
        <w:pageBreakBefore w:val="0"/>
        <w:widowControl w:val="0"/>
        <w:tabs>
          <w:tab w:val="left" w:pos="180"/>
        </w:tabs>
        <w:kinsoku/>
        <w:wordWrap/>
        <w:overflowPunct/>
        <w:topLinePunct w:val="0"/>
        <w:autoSpaceDE/>
        <w:autoSpaceDN/>
        <w:bidi w:val="0"/>
        <w:adjustRightInd/>
        <w:snapToGrid/>
        <w:spacing w:line="360" w:lineRule="auto"/>
        <w:ind w:firstLine="512" w:firstLineChars="200"/>
        <w:textAlignment w:val="auto"/>
        <w:rPr>
          <w:rFonts w:hint="eastAsia" w:ascii="宋体" w:hAnsi="宋体"/>
          <w:spacing w:val="8"/>
          <w:sz w:val="24"/>
          <w:highlight w:val="green"/>
          <w:lang w:val="en-US" w:eastAsia="zh-CN"/>
        </w:rPr>
      </w:pPr>
      <w:r>
        <w:rPr>
          <w:rFonts w:hint="eastAsia" w:ascii="宋体" w:hAnsi="宋体"/>
          <w:spacing w:val="8"/>
          <w:sz w:val="24"/>
          <w:highlight w:val="green"/>
          <w:lang w:val="en-US" w:eastAsia="zh-CN"/>
        </w:rPr>
        <w:t>垫层地基土的容许承载力≤80kN/m2时，垫层需做加固处理。</w:t>
      </w:r>
    </w:p>
    <w:p w14:paraId="13603214">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p>
    <w:p w14:paraId="7E8ED8F2">
      <w:pPr>
        <w:pStyle w:val="4"/>
        <w:pageBreakBefore w:val="0"/>
        <w:kinsoku/>
        <w:overflowPunct/>
        <w:bidi w:val="0"/>
        <w:spacing w:beforeAutospacing="0" w:afterAutospacing="0" w:line="360" w:lineRule="auto"/>
        <w:ind w:left="0" w:leftChars="0" w:right="0" w:rightChars="0"/>
        <w:rPr>
          <w:rFonts w:hint="default"/>
          <w:szCs w:val="22"/>
          <w:highlight w:val="green"/>
          <w:lang w:val="en-US" w:eastAsia="zh-CN"/>
        </w:rPr>
      </w:pPr>
      <w:r>
        <w:rPr>
          <w:rFonts w:hint="eastAsia"/>
          <w:szCs w:val="22"/>
          <w:highlight w:val="green"/>
          <w:lang w:val="en-US" w:eastAsia="zh-CN"/>
        </w:rPr>
        <w:t>4.3.3 横过路管</w:t>
      </w:r>
    </w:p>
    <w:p w14:paraId="3469A617">
      <w:pPr>
        <w:tabs>
          <w:tab w:val="left" w:pos="180"/>
        </w:tabs>
        <w:spacing w:line="360" w:lineRule="auto"/>
        <w:ind w:firstLine="512" w:firstLineChars="200"/>
        <w:rPr>
          <w:rFonts w:hint="eastAsia" w:ascii="宋体" w:hAnsi="宋体"/>
          <w:b w:val="0"/>
          <w:bCs w:val="0"/>
          <w:spacing w:val="8"/>
          <w:sz w:val="24"/>
          <w:highlight w:val="none"/>
          <w:lang w:val="zh-CN" w:eastAsia="zh-CN"/>
        </w:rPr>
      </w:pPr>
      <w:r>
        <w:rPr>
          <w:rFonts w:hint="eastAsia" w:ascii="宋体" w:hAnsi="宋体"/>
          <w:b w:val="0"/>
          <w:bCs w:val="0"/>
          <w:spacing w:val="8"/>
          <w:sz w:val="24"/>
          <w:highlight w:val="none"/>
          <w:lang w:val="en-US" w:eastAsia="zh-CN"/>
        </w:rPr>
        <w:t>为解决道路另一侧用户的使用需求，方便以后穿线，每隔180m左右设置一组横过路管，规格为PVC-U-3×2Φ110，混凝土包封保护，</w:t>
      </w:r>
      <w:r>
        <w:rPr>
          <w:rFonts w:hint="eastAsia" w:ascii="宋体" w:hAnsi="宋体"/>
          <w:b w:val="0"/>
          <w:bCs w:val="0"/>
          <w:spacing w:val="8"/>
          <w:sz w:val="24"/>
          <w:highlight w:val="none"/>
          <w:lang w:val="zh-CN" w:eastAsia="zh-CN"/>
        </w:rPr>
        <w:t>管顶距机动车道最低点不应小于</w:t>
      </w:r>
      <w:r>
        <w:rPr>
          <w:rFonts w:hint="eastAsia" w:ascii="宋体" w:hAnsi="宋体"/>
          <w:b w:val="0"/>
          <w:bCs w:val="0"/>
          <w:spacing w:val="8"/>
          <w:sz w:val="24"/>
          <w:highlight w:val="none"/>
          <w:lang w:val="en-US" w:eastAsia="zh-CN"/>
        </w:rPr>
        <w:t>1.0</w:t>
      </w:r>
      <w:r>
        <w:rPr>
          <w:rFonts w:hint="eastAsia" w:ascii="宋体" w:hAnsi="宋体"/>
          <w:b w:val="0"/>
          <w:bCs w:val="0"/>
          <w:spacing w:val="8"/>
          <w:sz w:val="24"/>
          <w:highlight w:val="none"/>
          <w:lang w:val="zh-CN" w:eastAsia="zh-CN"/>
        </w:rPr>
        <w:t>m。</w:t>
      </w:r>
    </w:p>
    <w:p w14:paraId="7FA51801">
      <w:pPr>
        <w:pStyle w:val="4"/>
        <w:pageBreakBefore w:val="0"/>
        <w:kinsoku/>
        <w:overflowPunct/>
        <w:bidi w:val="0"/>
        <w:spacing w:beforeAutospacing="0" w:afterAutospacing="0" w:line="360" w:lineRule="auto"/>
        <w:ind w:left="0" w:leftChars="0" w:right="0" w:rightChars="0"/>
        <w:rPr>
          <w:rFonts w:hint="eastAsia"/>
          <w:szCs w:val="22"/>
          <w:highlight w:val="green"/>
          <w:lang w:val="en-US" w:eastAsia="zh-CN"/>
        </w:rPr>
      </w:pPr>
      <w:r>
        <w:rPr>
          <w:rFonts w:hint="eastAsia"/>
          <w:szCs w:val="22"/>
          <w:highlight w:val="green"/>
          <w:lang w:val="en-US" w:eastAsia="zh-CN"/>
        </w:rPr>
        <w:t>4.3.4 通信井</w:t>
      </w:r>
    </w:p>
    <w:p w14:paraId="277324A4">
      <w:pPr>
        <w:tabs>
          <w:tab w:val="left" w:pos="180"/>
        </w:tabs>
        <w:spacing w:line="360" w:lineRule="auto"/>
        <w:ind w:firstLine="512" w:firstLineChars="200"/>
        <w:rPr>
          <w:rFonts w:hint="eastAsia" w:ascii="宋体" w:hAnsi="宋体"/>
          <w:b w:val="0"/>
          <w:bCs w:val="0"/>
          <w:spacing w:val="8"/>
          <w:sz w:val="24"/>
          <w:highlight w:val="none"/>
          <w:lang w:val="en-US" w:eastAsia="zh-CN"/>
        </w:rPr>
      </w:pPr>
      <w:r>
        <w:rPr>
          <w:rFonts w:hint="eastAsia" w:ascii="宋体" w:hAnsi="宋体"/>
          <w:b w:val="0"/>
          <w:bCs w:val="0"/>
          <w:spacing w:val="8"/>
          <w:sz w:val="24"/>
          <w:highlight w:val="none"/>
          <w:lang w:val="en-US" w:eastAsia="zh-CN"/>
        </w:rPr>
        <w:t>为便于缆线穿放、引出、分支，以及施工和今后维护检修的需要，通信排管每隔60m左右或在管群交叉、拐弯处，设置通信人孔井。</w:t>
      </w:r>
      <w:r>
        <w:rPr>
          <w:rFonts w:hint="eastAsia" w:ascii="宋体" w:hAnsi="宋体"/>
          <w:spacing w:val="8"/>
          <w:sz w:val="24"/>
          <w:highlight w:val="yellow"/>
          <w:lang w:val="en-US" w:eastAsia="zh-CN"/>
        </w:rPr>
        <w:t>通信</w:t>
      </w:r>
      <w:r>
        <w:rPr>
          <w:rFonts w:hint="eastAsia" w:ascii="宋体" w:hAnsi="宋体"/>
          <w:b w:val="0"/>
          <w:bCs w:val="0"/>
          <w:spacing w:val="8"/>
          <w:sz w:val="24"/>
          <w:highlight w:val="yellow"/>
          <w:lang w:val="en-US" w:eastAsia="zh-CN"/>
        </w:rPr>
        <w:t>人孔</w:t>
      </w:r>
      <w:r>
        <w:rPr>
          <w:rFonts w:hint="eastAsia" w:ascii="宋体" w:hAnsi="宋体"/>
          <w:spacing w:val="8"/>
          <w:sz w:val="24"/>
          <w:highlight w:val="yellow"/>
          <w:lang w:val="en-US" w:eastAsia="zh-CN"/>
        </w:rPr>
        <w:t>井采用砖砌结构，</w:t>
      </w:r>
      <w:r>
        <w:rPr>
          <w:rFonts w:hint="eastAsia" w:ascii="宋体" w:hAnsi="宋体"/>
          <w:b w:val="0"/>
          <w:bCs w:val="0"/>
          <w:spacing w:val="8"/>
          <w:sz w:val="24"/>
          <w:highlight w:val="yellow"/>
          <w:lang w:val="en-US" w:eastAsia="zh-CN"/>
        </w:rPr>
        <w:t>通信</w:t>
      </w:r>
      <w:r>
        <w:rPr>
          <w:rFonts w:hint="eastAsia" w:ascii="宋体" w:hAnsi="宋体"/>
          <w:b w:val="0"/>
          <w:bCs w:val="0"/>
          <w:spacing w:val="8"/>
          <w:sz w:val="24"/>
          <w:highlight w:val="none"/>
          <w:lang w:val="en-US" w:eastAsia="zh-CN"/>
        </w:rPr>
        <w:t>人孔井按照《通信管道人孔和手孔图集》（YD/T 5178-2017）中的小号人孔设计。</w:t>
      </w:r>
    </w:p>
    <w:p w14:paraId="3D470247">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通信井按天然地基承载力标准值fak≥120kPa设计,施工时若发现土质的实际情况与设计要求不符，须通知设计人员及地质勘察人员共同研究处理。</w:t>
      </w:r>
    </w:p>
    <w:p w14:paraId="7F790832">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为避免排管在使用时被泥堵塞致使无法正常使用，造成浪费。在通信井处用管盖封闭排管口。</w:t>
      </w:r>
    </w:p>
    <w:p w14:paraId="07BE395F">
      <w:pPr>
        <w:pStyle w:val="4"/>
        <w:pageBreakBefore w:val="0"/>
        <w:kinsoku/>
        <w:overflowPunct/>
        <w:bidi w:val="0"/>
        <w:spacing w:beforeAutospacing="0" w:afterAutospacing="0" w:line="360" w:lineRule="auto"/>
        <w:ind w:left="0" w:leftChars="0" w:right="0" w:rightChars="0"/>
        <w:rPr>
          <w:rFonts w:hint="default" w:eastAsia="宋体"/>
          <w:szCs w:val="22"/>
          <w:highlight w:val="green"/>
          <w:lang w:val="en-US" w:eastAsia="zh-CN"/>
        </w:rPr>
      </w:pPr>
      <w:r>
        <w:rPr>
          <w:rFonts w:hint="eastAsia"/>
          <w:szCs w:val="22"/>
          <w:highlight w:val="green"/>
          <w:lang w:val="en-US" w:eastAsia="zh-CN"/>
        </w:rPr>
        <w:t>4</w:t>
      </w:r>
      <w:r>
        <w:rPr>
          <w:rFonts w:hint="eastAsia" w:eastAsia="宋体"/>
          <w:szCs w:val="22"/>
          <w:highlight w:val="green"/>
          <w:lang w:val="en-US" w:eastAsia="zh-CN"/>
        </w:rPr>
        <w:t>.3.</w:t>
      </w:r>
      <w:r>
        <w:rPr>
          <w:rFonts w:hint="eastAsia"/>
          <w:szCs w:val="22"/>
          <w:highlight w:val="green"/>
          <w:lang w:val="en-US" w:eastAsia="zh-CN"/>
        </w:rPr>
        <w:t>5</w:t>
      </w:r>
      <w:r>
        <w:rPr>
          <w:rFonts w:hint="eastAsia" w:eastAsia="宋体"/>
          <w:szCs w:val="22"/>
          <w:highlight w:val="green"/>
          <w:lang w:val="en-US" w:eastAsia="zh-CN"/>
        </w:rPr>
        <w:t xml:space="preserve"> 排水</w:t>
      </w:r>
    </w:p>
    <w:p w14:paraId="72CBB7CF">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管道采用"一"字坡，如遇障碍物难以通过时，采用"人"字坡。管道敷设坡度在3‰~4‰之间，最小不小于2.5‰。当道路纵向有坡时，优先利用地势获得坡度，以利渗入管道内的地下水流向人孔。通信井内积水采用下渗方式排出。在通信井内设积水罐，积水罐做法参考图集《通信管道人孔和手孔图集》（YD/T 5178-2017）第109页。积水罐内须填满细沙。</w:t>
      </w:r>
    </w:p>
    <w:p w14:paraId="1AAE73DE">
      <w:pPr>
        <w:pStyle w:val="2"/>
        <w:pageBreakBefore w:val="0"/>
        <w:kinsoku/>
        <w:overflowPunct/>
        <w:bidi w:val="0"/>
        <w:spacing w:before="0" w:beforeLines="0" w:beforeAutospacing="0" w:after="0" w:afterLines="0" w:afterAutospacing="0" w:line="360" w:lineRule="auto"/>
        <w:ind w:left="0" w:leftChars="0" w:right="0" w:rightChars="0"/>
        <w:rPr>
          <w:rFonts w:hint="eastAsia"/>
          <w:highlight w:val="none"/>
          <w:lang w:val="en-US" w:eastAsia="zh-CN"/>
        </w:rPr>
      </w:pPr>
      <w:r>
        <w:rPr>
          <w:rFonts w:hint="eastAsia"/>
          <w:highlight w:val="none"/>
          <w:lang w:val="en-US" w:eastAsia="zh-CN"/>
        </w:rPr>
        <w:t>5、照明工程</w:t>
      </w:r>
      <w:bookmarkEnd w:id="16"/>
    </w:p>
    <w:p w14:paraId="07E3B755">
      <w:pPr>
        <w:pStyle w:val="3"/>
        <w:pageBreakBefore w:val="0"/>
        <w:kinsoku/>
        <w:overflowPunct/>
        <w:bidi w:val="0"/>
        <w:spacing w:before="0" w:beforeLines="0" w:beforeAutospacing="0" w:after="0" w:afterLines="0" w:afterAutospacing="0" w:line="360" w:lineRule="auto"/>
        <w:ind w:left="0" w:leftChars="0" w:right="0" w:rightChars="0"/>
        <w:rPr>
          <w:rFonts w:hint="default" w:ascii="Arial" w:hAnsi="Arial"/>
          <w:szCs w:val="22"/>
          <w:highlight w:val="none"/>
          <w:lang w:val="en-US" w:eastAsia="zh-CN"/>
        </w:rPr>
      </w:pPr>
      <w:r>
        <w:rPr>
          <w:rFonts w:hint="eastAsia" w:ascii="Arial" w:hAnsi="Arial"/>
          <w:szCs w:val="22"/>
          <w:highlight w:val="none"/>
          <w:lang w:val="en-US" w:eastAsia="zh-CN"/>
        </w:rPr>
        <w:t>5.1设计范围及内容</w:t>
      </w:r>
    </w:p>
    <w:p w14:paraId="536B4437">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设计范围：同道路设计范围。</w:t>
      </w:r>
    </w:p>
    <w:p w14:paraId="7B297E0F">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设计内容：包括工程范围内路灯、预留预埋及其供配电系统。</w:t>
      </w:r>
    </w:p>
    <w:p w14:paraId="76A4DF25">
      <w:pPr>
        <w:pStyle w:val="3"/>
        <w:pageBreakBefore w:val="0"/>
        <w:kinsoku/>
        <w:overflowPunct/>
        <w:bidi w:val="0"/>
        <w:spacing w:before="0" w:beforeLines="0" w:beforeAutospacing="0" w:after="0" w:afterLines="0" w:afterAutospacing="0" w:line="360" w:lineRule="auto"/>
        <w:ind w:left="0" w:leftChars="0" w:right="0" w:rightChars="0"/>
        <w:rPr>
          <w:rFonts w:hint="default" w:ascii="Arial" w:hAnsi="Arial"/>
          <w:szCs w:val="22"/>
          <w:highlight w:val="none"/>
          <w:lang w:val="en-US" w:eastAsia="zh-CN"/>
        </w:rPr>
      </w:pPr>
      <w:r>
        <w:rPr>
          <w:rFonts w:hint="eastAsia" w:ascii="Arial" w:hAnsi="Arial"/>
          <w:szCs w:val="22"/>
          <w:highlight w:val="none"/>
          <w:lang w:val="en-US" w:eastAsia="zh-CN"/>
        </w:rPr>
        <w:t>5.2初设执行情况</w:t>
      </w:r>
    </w:p>
    <w:p w14:paraId="7F2703B5">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sz w:val="24"/>
          <w:szCs w:val="24"/>
          <w:highlight w:val="none"/>
          <w:lang w:val="en-US" w:eastAsia="zh-CN"/>
        </w:rPr>
      </w:pPr>
      <w:r>
        <w:rPr>
          <w:rFonts w:hint="eastAsia"/>
          <w:sz w:val="24"/>
          <w:szCs w:val="24"/>
          <w:highlight w:val="none"/>
          <w:lang w:val="en-US" w:eastAsia="zh-CN"/>
        </w:rPr>
        <w:t>本设计照明工程内容与初设一致。</w:t>
      </w:r>
    </w:p>
    <w:p w14:paraId="415E8B35">
      <w:pPr>
        <w:pStyle w:val="3"/>
        <w:pageBreakBefore w:val="0"/>
        <w:kinsoku/>
        <w:overflowPunct/>
        <w:bidi w:val="0"/>
        <w:spacing w:before="0" w:beforeLines="0" w:beforeAutospacing="0" w:after="0" w:afterLines="0" w:afterAutospacing="0" w:line="360" w:lineRule="auto"/>
        <w:ind w:left="0" w:leftChars="0" w:right="0" w:rightChars="0"/>
        <w:rPr>
          <w:rFonts w:hint="eastAsia" w:ascii="Arial" w:hAnsi="Arial"/>
          <w:szCs w:val="22"/>
          <w:highlight w:val="none"/>
          <w:lang w:val="en-US" w:eastAsia="zh-CN"/>
        </w:rPr>
      </w:pPr>
      <w:r>
        <w:rPr>
          <w:rFonts w:hint="eastAsia" w:ascii="Arial" w:hAnsi="Arial"/>
          <w:szCs w:val="22"/>
          <w:highlight w:val="none"/>
          <w:lang w:val="en-US" w:eastAsia="zh-CN"/>
        </w:rPr>
        <w:t>5.3设计标准</w:t>
      </w:r>
    </w:p>
    <w:p w14:paraId="524A58FA">
      <w:pPr>
        <w:spacing w:line="360" w:lineRule="auto"/>
        <w:ind w:firstLine="480"/>
        <w:rPr>
          <w:rFonts w:hint="eastAsia" w:ascii="宋体" w:hAnsi="宋体" w:cs="宋体"/>
          <w:bCs/>
          <w:sz w:val="24"/>
          <w:szCs w:val="24"/>
          <w:highlight w:val="none"/>
        </w:rPr>
      </w:pPr>
      <w:r>
        <w:rPr>
          <w:rFonts w:hint="eastAsia" w:ascii="宋体" w:hAnsi="宋体" w:cs="宋体"/>
          <w:bCs/>
          <w:sz w:val="24"/>
          <w:szCs w:val="24"/>
          <w:highlight w:val="none"/>
        </w:rPr>
        <w:t>本工程为城市</w:t>
      </w:r>
      <w:r>
        <w:rPr>
          <w:rFonts w:hint="eastAsia" w:ascii="宋体" w:hAnsi="宋体" w:cs="宋体"/>
          <w:bCs/>
          <w:sz w:val="24"/>
          <w:szCs w:val="24"/>
          <w:highlight w:val="none"/>
          <w:lang w:val="en-US" w:eastAsia="zh-CN"/>
        </w:rPr>
        <w:t>支</w:t>
      </w:r>
      <w:r>
        <w:rPr>
          <w:rFonts w:hint="eastAsia" w:ascii="宋体" w:hAnsi="宋体" w:cs="宋体"/>
          <w:bCs/>
          <w:sz w:val="24"/>
          <w:szCs w:val="24"/>
          <w:highlight w:val="none"/>
        </w:rPr>
        <w:t>路，根据《城市道路照明设计标准》CJJ45-2015中的高档值标准设置照明，照明执行标准如下：</w:t>
      </w:r>
    </w:p>
    <w:p w14:paraId="547EE4EC">
      <w:pPr>
        <w:ind w:firstLine="0"/>
        <w:jc w:val="center"/>
        <w:rPr>
          <w:rFonts w:hint="eastAsia" w:hAnsi="宋体" w:cs="宋体"/>
          <w:b/>
          <w:kern w:val="2"/>
          <w:szCs w:val="24"/>
          <w:highlight w:val="none"/>
          <w:u w:val="single"/>
        </w:rPr>
      </w:pPr>
    </w:p>
    <w:p w14:paraId="09E87459">
      <w:pPr>
        <w:ind w:firstLine="0"/>
        <w:jc w:val="center"/>
        <w:rPr>
          <w:rFonts w:hint="eastAsia" w:hAnsi="宋体" w:cs="宋体"/>
          <w:b/>
          <w:kern w:val="2"/>
          <w:szCs w:val="24"/>
          <w:highlight w:val="none"/>
          <w:u w:val="single"/>
        </w:rPr>
      </w:pPr>
    </w:p>
    <w:p w14:paraId="49A0487E">
      <w:pPr>
        <w:ind w:firstLine="0"/>
        <w:jc w:val="center"/>
        <w:rPr>
          <w:rFonts w:hint="eastAsia" w:hAnsi="宋体" w:cs="宋体"/>
          <w:b/>
          <w:kern w:val="2"/>
          <w:szCs w:val="24"/>
          <w:highlight w:val="none"/>
          <w:u w:val="single"/>
        </w:rPr>
      </w:pPr>
      <w:r>
        <w:rPr>
          <w:rFonts w:hint="eastAsia" w:hAnsi="宋体" w:cs="宋体"/>
          <w:b/>
          <w:kern w:val="2"/>
          <w:szCs w:val="24"/>
          <w:highlight w:val="none"/>
          <w:u w:val="single"/>
        </w:rPr>
        <w:t>照明标准值表</w:t>
      </w:r>
    </w:p>
    <w:tbl>
      <w:tblPr>
        <w:tblStyle w:val="13"/>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583"/>
        <w:gridCol w:w="1901"/>
        <w:gridCol w:w="1744"/>
        <w:gridCol w:w="1578"/>
        <w:gridCol w:w="1571"/>
      </w:tblGrid>
      <w:tr w14:paraId="0E504D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491" w:type="dxa"/>
            <w:noWrap w:val="0"/>
            <w:vAlign w:val="center"/>
          </w:tcPr>
          <w:p w14:paraId="5ADA5C2B">
            <w:pPr>
              <w:spacing w:line="240" w:lineRule="auto"/>
              <w:ind w:firstLine="0"/>
              <w:jc w:val="center"/>
              <w:rPr>
                <w:rFonts w:hint="eastAsia" w:hAnsi="宋体" w:cs="宋体"/>
                <w:sz w:val="21"/>
                <w:szCs w:val="21"/>
                <w:highlight w:val="none"/>
              </w:rPr>
            </w:pPr>
            <w:r>
              <w:rPr>
                <w:rFonts w:hint="eastAsia" w:hAnsi="宋体" w:cs="宋体"/>
                <w:sz w:val="21"/>
                <w:szCs w:val="21"/>
                <w:highlight w:val="none"/>
              </w:rPr>
              <w:t>道路类型</w:t>
            </w:r>
          </w:p>
        </w:tc>
        <w:tc>
          <w:tcPr>
            <w:tcW w:w="1583" w:type="dxa"/>
            <w:noWrap w:val="0"/>
            <w:vAlign w:val="center"/>
          </w:tcPr>
          <w:p w14:paraId="4E8B7828">
            <w:pPr>
              <w:spacing w:line="240" w:lineRule="auto"/>
              <w:ind w:firstLine="0"/>
              <w:jc w:val="center"/>
              <w:rPr>
                <w:rFonts w:hint="eastAsia" w:hAnsi="宋体" w:cs="宋体"/>
                <w:sz w:val="21"/>
                <w:szCs w:val="21"/>
                <w:highlight w:val="none"/>
              </w:rPr>
            </w:pPr>
            <w:r>
              <w:rPr>
                <w:rFonts w:hint="eastAsia" w:hAnsi="宋体" w:cs="宋体"/>
                <w:sz w:val="21"/>
                <w:szCs w:val="21"/>
                <w:highlight w:val="none"/>
              </w:rPr>
              <w:t>平均照度 Eav（lx）</w:t>
            </w:r>
          </w:p>
        </w:tc>
        <w:tc>
          <w:tcPr>
            <w:tcW w:w="1901" w:type="dxa"/>
            <w:noWrap w:val="0"/>
            <w:vAlign w:val="center"/>
          </w:tcPr>
          <w:p w14:paraId="4F8F04EE">
            <w:pPr>
              <w:spacing w:line="240" w:lineRule="auto"/>
              <w:ind w:firstLine="0"/>
              <w:jc w:val="center"/>
              <w:rPr>
                <w:rFonts w:hAnsi="宋体" w:cs="宋体"/>
                <w:sz w:val="21"/>
                <w:szCs w:val="21"/>
                <w:highlight w:val="none"/>
              </w:rPr>
            </w:pPr>
            <w:r>
              <w:rPr>
                <w:rFonts w:hint="eastAsia" w:hAnsi="宋体"/>
                <w:color w:val="000000"/>
                <w:highlight w:val="none"/>
              </w:rPr>
              <w:t>照度均匀度最小值UE</w:t>
            </w:r>
          </w:p>
        </w:tc>
        <w:tc>
          <w:tcPr>
            <w:tcW w:w="1744" w:type="dxa"/>
            <w:noWrap w:val="0"/>
            <w:vAlign w:val="center"/>
          </w:tcPr>
          <w:p w14:paraId="4BF2E322">
            <w:pPr>
              <w:spacing w:line="240" w:lineRule="auto"/>
              <w:ind w:firstLine="0"/>
              <w:jc w:val="center"/>
              <w:rPr>
                <w:rFonts w:hint="eastAsia" w:hAnsi="宋体" w:cs="宋体"/>
                <w:sz w:val="21"/>
                <w:szCs w:val="21"/>
                <w:highlight w:val="none"/>
              </w:rPr>
            </w:pPr>
            <w:r>
              <w:rPr>
                <w:rFonts w:hint="eastAsia" w:hAnsi="宋体" w:cs="宋体"/>
                <w:sz w:val="21"/>
                <w:szCs w:val="21"/>
                <w:highlight w:val="none"/>
              </w:rPr>
              <w:t>平均亮度</w:t>
            </w:r>
          </w:p>
          <w:p w14:paraId="461BD286">
            <w:pPr>
              <w:spacing w:line="240" w:lineRule="auto"/>
              <w:ind w:firstLine="0"/>
              <w:jc w:val="center"/>
              <w:rPr>
                <w:rFonts w:hint="eastAsia" w:hAnsi="宋体" w:cs="宋体"/>
                <w:sz w:val="21"/>
                <w:szCs w:val="21"/>
                <w:highlight w:val="none"/>
              </w:rPr>
            </w:pPr>
            <w:r>
              <w:rPr>
                <w:rFonts w:hint="eastAsia" w:hAnsi="宋体" w:cs="宋体"/>
                <w:sz w:val="21"/>
                <w:szCs w:val="21"/>
                <w:highlight w:val="none"/>
              </w:rPr>
              <w:t>La（cd/m2）</w:t>
            </w:r>
          </w:p>
        </w:tc>
        <w:tc>
          <w:tcPr>
            <w:tcW w:w="1578" w:type="dxa"/>
            <w:noWrap w:val="0"/>
            <w:vAlign w:val="center"/>
          </w:tcPr>
          <w:p w14:paraId="52F23BB9">
            <w:pPr>
              <w:spacing w:line="240" w:lineRule="auto"/>
              <w:ind w:firstLine="0"/>
              <w:jc w:val="center"/>
              <w:rPr>
                <w:rFonts w:hAnsi="宋体" w:cs="宋体"/>
                <w:sz w:val="21"/>
                <w:szCs w:val="21"/>
                <w:highlight w:val="none"/>
              </w:rPr>
            </w:pPr>
            <w:r>
              <w:rPr>
                <w:rFonts w:hint="eastAsia" w:hAnsi="宋体"/>
                <w:color w:val="000000"/>
                <w:highlight w:val="none"/>
              </w:rPr>
              <w:t>亮度总均匀度最小值UO</w:t>
            </w:r>
          </w:p>
        </w:tc>
        <w:tc>
          <w:tcPr>
            <w:tcW w:w="1571" w:type="dxa"/>
            <w:noWrap w:val="0"/>
            <w:vAlign w:val="center"/>
          </w:tcPr>
          <w:p w14:paraId="0AB0A179">
            <w:pPr>
              <w:spacing w:line="240" w:lineRule="auto"/>
              <w:ind w:firstLine="0"/>
              <w:jc w:val="center"/>
              <w:rPr>
                <w:rFonts w:hint="eastAsia" w:hAnsi="宋体" w:cs="宋体"/>
                <w:sz w:val="21"/>
                <w:szCs w:val="21"/>
                <w:highlight w:val="none"/>
              </w:rPr>
            </w:pPr>
            <w:r>
              <w:rPr>
                <w:rFonts w:hint="eastAsia" w:hAnsi="宋体" w:cs="宋体"/>
                <w:sz w:val="21"/>
                <w:szCs w:val="21"/>
                <w:highlight w:val="none"/>
              </w:rPr>
              <w:t>LPD(W/m2)</w:t>
            </w:r>
          </w:p>
        </w:tc>
      </w:tr>
      <w:tr w14:paraId="5D697D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491" w:type="dxa"/>
            <w:noWrap w:val="0"/>
            <w:vAlign w:val="center"/>
          </w:tcPr>
          <w:p w14:paraId="7A3DAEB4">
            <w:pPr>
              <w:spacing w:line="240" w:lineRule="auto"/>
              <w:ind w:firstLine="0"/>
              <w:jc w:val="center"/>
              <w:rPr>
                <w:rFonts w:hint="eastAsia" w:hAnsi="宋体" w:cs="宋体"/>
                <w:sz w:val="21"/>
                <w:szCs w:val="21"/>
                <w:highlight w:val="none"/>
              </w:rPr>
            </w:pPr>
            <w:r>
              <w:rPr>
                <w:rFonts w:hint="eastAsia" w:hAnsi="宋体" w:cs="宋体"/>
                <w:sz w:val="21"/>
                <w:szCs w:val="21"/>
                <w:highlight w:val="none"/>
                <w:lang w:val="en-US" w:eastAsia="zh-CN"/>
              </w:rPr>
              <w:t>支</w:t>
            </w:r>
            <w:r>
              <w:rPr>
                <w:rFonts w:hint="eastAsia" w:hAnsi="宋体" w:cs="宋体"/>
                <w:sz w:val="21"/>
                <w:szCs w:val="21"/>
                <w:highlight w:val="none"/>
              </w:rPr>
              <w:t>路</w:t>
            </w:r>
          </w:p>
        </w:tc>
        <w:tc>
          <w:tcPr>
            <w:tcW w:w="1583" w:type="dxa"/>
            <w:noWrap w:val="0"/>
            <w:vAlign w:val="center"/>
          </w:tcPr>
          <w:p w14:paraId="3E79BC23">
            <w:pPr>
              <w:spacing w:line="240" w:lineRule="auto"/>
              <w:ind w:firstLine="0"/>
              <w:jc w:val="center"/>
              <w:rPr>
                <w:rFonts w:hint="default" w:hAnsi="宋体" w:eastAsia="宋体" w:cs="宋体"/>
                <w:sz w:val="21"/>
                <w:szCs w:val="21"/>
                <w:highlight w:val="none"/>
                <w:lang w:val="en-US" w:eastAsia="zh-CN"/>
              </w:rPr>
            </w:pPr>
            <w:r>
              <w:rPr>
                <w:rFonts w:hint="eastAsia" w:hAnsi="宋体" w:cs="宋体"/>
                <w:sz w:val="21"/>
                <w:szCs w:val="21"/>
                <w:highlight w:val="none"/>
                <w:lang w:val="en-US" w:eastAsia="zh-CN"/>
              </w:rPr>
              <w:t>10</w:t>
            </w:r>
          </w:p>
        </w:tc>
        <w:tc>
          <w:tcPr>
            <w:tcW w:w="1901" w:type="dxa"/>
            <w:noWrap w:val="0"/>
            <w:vAlign w:val="center"/>
          </w:tcPr>
          <w:p w14:paraId="2B9F5DDF">
            <w:pPr>
              <w:spacing w:line="240" w:lineRule="auto"/>
              <w:ind w:firstLine="0"/>
              <w:jc w:val="center"/>
              <w:rPr>
                <w:rFonts w:hint="eastAsia" w:hAnsi="宋体" w:eastAsia="宋体" w:cs="宋体"/>
                <w:sz w:val="21"/>
                <w:szCs w:val="21"/>
                <w:highlight w:val="none"/>
                <w:lang w:eastAsia="zh-CN"/>
              </w:rPr>
            </w:pPr>
            <w:r>
              <w:rPr>
                <w:rFonts w:hint="eastAsia" w:hAnsi="宋体" w:cs="宋体"/>
                <w:sz w:val="21"/>
                <w:szCs w:val="21"/>
                <w:highlight w:val="none"/>
              </w:rPr>
              <w:t>0.</w:t>
            </w:r>
            <w:r>
              <w:rPr>
                <w:rFonts w:hint="eastAsia" w:hAnsi="宋体" w:cs="宋体"/>
                <w:sz w:val="21"/>
                <w:szCs w:val="21"/>
                <w:highlight w:val="none"/>
                <w:lang w:val="en-US" w:eastAsia="zh-CN"/>
              </w:rPr>
              <w:t>3</w:t>
            </w:r>
          </w:p>
        </w:tc>
        <w:tc>
          <w:tcPr>
            <w:tcW w:w="1744" w:type="dxa"/>
            <w:noWrap w:val="0"/>
            <w:vAlign w:val="center"/>
          </w:tcPr>
          <w:p w14:paraId="10B4672A">
            <w:pPr>
              <w:spacing w:line="240" w:lineRule="auto"/>
              <w:ind w:firstLine="0"/>
              <w:jc w:val="center"/>
              <w:rPr>
                <w:rFonts w:hint="default" w:hAnsi="宋体" w:eastAsia="宋体" w:cs="宋体"/>
                <w:sz w:val="21"/>
                <w:szCs w:val="21"/>
                <w:highlight w:val="none"/>
                <w:lang w:val="en-US" w:eastAsia="zh-CN"/>
              </w:rPr>
            </w:pPr>
            <w:r>
              <w:rPr>
                <w:rFonts w:hint="eastAsia" w:hAnsi="宋体" w:cs="宋体"/>
                <w:sz w:val="21"/>
                <w:szCs w:val="21"/>
                <w:highlight w:val="none"/>
                <w:lang w:val="en-US" w:eastAsia="zh-CN"/>
              </w:rPr>
              <w:t>0.75</w:t>
            </w:r>
          </w:p>
        </w:tc>
        <w:tc>
          <w:tcPr>
            <w:tcW w:w="1578" w:type="dxa"/>
            <w:noWrap w:val="0"/>
            <w:vAlign w:val="center"/>
          </w:tcPr>
          <w:p w14:paraId="49CBC25A">
            <w:pPr>
              <w:spacing w:line="240" w:lineRule="auto"/>
              <w:ind w:firstLine="0"/>
              <w:jc w:val="center"/>
              <w:rPr>
                <w:rFonts w:hint="eastAsia" w:hAnsi="宋体" w:cs="宋体"/>
                <w:sz w:val="21"/>
                <w:szCs w:val="21"/>
                <w:highlight w:val="none"/>
              </w:rPr>
            </w:pPr>
            <w:r>
              <w:rPr>
                <w:rFonts w:hint="eastAsia" w:hAnsi="宋体" w:cs="宋体"/>
                <w:sz w:val="21"/>
                <w:szCs w:val="21"/>
                <w:highlight w:val="none"/>
              </w:rPr>
              <w:t>0.4</w:t>
            </w:r>
          </w:p>
        </w:tc>
        <w:tc>
          <w:tcPr>
            <w:tcW w:w="1571" w:type="dxa"/>
            <w:noWrap w:val="0"/>
            <w:vAlign w:val="center"/>
          </w:tcPr>
          <w:p w14:paraId="1F9EFFF6">
            <w:pPr>
              <w:spacing w:line="240" w:lineRule="auto"/>
              <w:ind w:firstLine="0"/>
              <w:jc w:val="center"/>
              <w:rPr>
                <w:rFonts w:hint="eastAsia" w:hAnsi="宋体" w:eastAsia="宋体" w:cs="宋体"/>
                <w:sz w:val="21"/>
                <w:szCs w:val="21"/>
                <w:highlight w:val="none"/>
                <w:lang w:val="en-US" w:eastAsia="zh-CN"/>
              </w:rPr>
            </w:pPr>
            <w:r>
              <w:rPr>
                <w:rFonts w:hint="eastAsia" w:hAnsi="宋体" w:cs="宋体"/>
                <w:sz w:val="21"/>
                <w:szCs w:val="21"/>
                <w:highlight w:val="none"/>
              </w:rPr>
              <w:t>≤0.</w:t>
            </w:r>
            <w:r>
              <w:rPr>
                <w:rFonts w:hint="eastAsia" w:hAnsi="宋体" w:cs="宋体"/>
                <w:sz w:val="21"/>
                <w:szCs w:val="21"/>
                <w:highlight w:val="none"/>
                <w:lang w:val="en-US" w:eastAsia="zh-CN"/>
              </w:rPr>
              <w:t>5</w:t>
            </w:r>
          </w:p>
        </w:tc>
      </w:tr>
    </w:tbl>
    <w:p w14:paraId="0F624920">
      <w:pPr>
        <w:ind w:firstLine="0"/>
        <w:jc w:val="center"/>
        <w:rPr>
          <w:rFonts w:hint="eastAsia" w:hAnsi="宋体" w:cs="宋体"/>
          <w:b/>
          <w:kern w:val="2"/>
          <w:szCs w:val="24"/>
          <w:highlight w:val="green"/>
          <w:u w:val="single"/>
          <w:lang w:val="en-US" w:eastAsia="zh-CN"/>
        </w:rPr>
      </w:pPr>
      <w:r>
        <w:rPr>
          <w:rFonts w:hint="eastAsia" w:hAnsi="宋体" w:cs="宋体"/>
          <w:b/>
          <w:kern w:val="2"/>
          <w:szCs w:val="24"/>
          <w:highlight w:val="green"/>
          <w:u w:val="single"/>
          <w:lang w:val="en-US" w:eastAsia="zh-CN"/>
        </w:rPr>
        <w:t>人行道照明标准</w:t>
      </w:r>
    </w:p>
    <w:tbl>
      <w:tblPr>
        <w:tblStyle w:val="13"/>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854"/>
        <w:gridCol w:w="1896"/>
        <w:gridCol w:w="1905"/>
        <w:gridCol w:w="2034"/>
      </w:tblGrid>
      <w:tr w14:paraId="6256AA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04" w:type="dxa"/>
            <w:tcBorders>
              <w:top w:val="double" w:color="000000" w:sz="4" w:space="0"/>
              <w:left w:val="double" w:color="000000" w:sz="4" w:space="0"/>
              <w:bottom w:val="single" w:color="000000" w:sz="4" w:space="0"/>
              <w:right w:val="single" w:color="000000" w:sz="4" w:space="0"/>
            </w:tcBorders>
            <w:noWrap w:val="0"/>
            <w:vAlign w:val="center"/>
          </w:tcPr>
          <w:p w14:paraId="374730E8">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道路类型</w:t>
            </w:r>
          </w:p>
        </w:tc>
        <w:tc>
          <w:tcPr>
            <w:tcW w:w="1854" w:type="dxa"/>
            <w:tcBorders>
              <w:top w:val="double" w:color="000000" w:sz="4" w:space="0"/>
              <w:left w:val="single" w:color="000000" w:sz="4" w:space="0"/>
              <w:bottom w:val="single" w:color="000000" w:sz="4" w:space="0"/>
              <w:right w:val="single" w:color="000000" w:sz="4" w:space="0"/>
            </w:tcBorders>
            <w:noWrap w:val="0"/>
            <w:vAlign w:val="center"/>
          </w:tcPr>
          <w:p w14:paraId="70655456">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路面平均照度 Eh,av(lx)维持值</w:t>
            </w:r>
          </w:p>
        </w:tc>
        <w:tc>
          <w:tcPr>
            <w:tcW w:w="1896" w:type="dxa"/>
            <w:tcBorders>
              <w:top w:val="double" w:color="000000" w:sz="4" w:space="0"/>
              <w:left w:val="single" w:color="000000" w:sz="4" w:space="0"/>
              <w:bottom w:val="single" w:color="000000" w:sz="4" w:space="0"/>
              <w:right w:val="single" w:color="000000" w:sz="4" w:space="0"/>
            </w:tcBorders>
            <w:noWrap w:val="0"/>
            <w:vAlign w:val="center"/>
          </w:tcPr>
          <w:p w14:paraId="16840080">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路面最小照度 Eh,min(lx)维持值</w:t>
            </w:r>
          </w:p>
        </w:tc>
        <w:tc>
          <w:tcPr>
            <w:tcW w:w="1905" w:type="dxa"/>
            <w:tcBorders>
              <w:top w:val="double" w:color="000000" w:sz="4" w:space="0"/>
              <w:left w:val="single" w:color="000000" w:sz="4" w:space="0"/>
              <w:bottom w:val="single" w:color="000000" w:sz="4" w:space="0"/>
              <w:right w:val="single" w:color="000000" w:sz="4" w:space="0"/>
            </w:tcBorders>
            <w:noWrap w:val="0"/>
            <w:vAlign w:val="center"/>
          </w:tcPr>
          <w:p w14:paraId="1B0BC4EE">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最小垂直照度Ev,min(lx)维持值</w:t>
            </w:r>
          </w:p>
        </w:tc>
        <w:tc>
          <w:tcPr>
            <w:tcW w:w="2034" w:type="dxa"/>
            <w:tcBorders>
              <w:top w:val="double" w:color="000000" w:sz="4" w:space="0"/>
              <w:left w:val="single" w:color="000000" w:sz="4" w:space="0"/>
              <w:bottom w:val="single" w:color="000000" w:sz="4" w:space="0"/>
              <w:right w:val="double" w:color="000000" w:sz="4" w:space="0"/>
            </w:tcBorders>
            <w:noWrap w:val="0"/>
            <w:vAlign w:val="center"/>
          </w:tcPr>
          <w:p w14:paraId="0536B8CE">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最小半柱面照度Esc,min(lx)维持值</w:t>
            </w:r>
          </w:p>
        </w:tc>
      </w:tr>
      <w:tr w14:paraId="0A1D6B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04" w:type="dxa"/>
            <w:tcBorders>
              <w:top w:val="single" w:color="000000" w:sz="4" w:space="0"/>
              <w:left w:val="double" w:color="000000" w:sz="4" w:space="0"/>
              <w:bottom w:val="double" w:color="000000" w:sz="4" w:space="0"/>
              <w:right w:val="single" w:color="000000" w:sz="4" w:space="0"/>
            </w:tcBorders>
            <w:noWrap w:val="0"/>
            <w:vAlign w:val="center"/>
          </w:tcPr>
          <w:p w14:paraId="4312C50A">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流量中等的道路</w:t>
            </w:r>
          </w:p>
        </w:tc>
        <w:tc>
          <w:tcPr>
            <w:tcW w:w="1854" w:type="dxa"/>
            <w:tcBorders>
              <w:top w:val="single" w:color="000000" w:sz="4" w:space="0"/>
              <w:left w:val="single" w:color="000000" w:sz="4" w:space="0"/>
              <w:bottom w:val="double" w:color="000000" w:sz="4" w:space="0"/>
              <w:right w:val="single" w:color="000000" w:sz="4" w:space="0"/>
            </w:tcBorders>
            <w:noWrap w:val="0"/>
            <w:vAlign w:val="center"/>
          </w:tcPr>
          <w:p w14:paraId="2678BD50">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7.5</w:t>
            </w:r>
          </w:p>
        </w:tc>
        <w:tc>
          <w:tcPr>
            <w:tcW w:w="1896" w:type="dxa"/>
            <w:tcBorders>
              <w:top w:val="single" w:color="000000" w:sz="4" w:space="0"/>
              <w:left w:val="single" w:color="000000" w:sz="4" w:space="0"/>
              <w:bottom w:val="double" w:color="000000" w:sz="4" w:space="0"/>
              <w:right w:val="single" w:color="000000" w:sz="4" w:space="0"/>
            </w:tcBorders>
            <w:noWrap w:val="0"/>
            <w:vAlign w:val="center"/>
          </w:tcPr>
          <w:p w14:paraId="6D53B3C4">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1.5</w:t>
            </w:r>
          </w:p>
        </w:tc>
        <w:tc>
          <w:tcPr>
            <w:tcW w:w="1905" w:type="dxa"/>
            <w:tcBorders>
              <w:top w:val="single" w:color="000000" w:sz="4" w:space="0"/>
              <w:left w:val="single" w:color="000000" w:sz="4" w:space="0"/>
              <w:bottom w:val="double" w:color="000000" w:sz="4" w:space="0"/>
              <w:right w:val="single" w:color="000000" w:sz="4" w:space="0"/>
            </w:tcBorders>
            <w:noWrap w:val="0"/>
            <w:vAlign w:val="center"/>
          </w:tcPr>
          <w:p w14:paraId="610754DC">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2.5</w:t>
            </w:r>
          </w:p>
        </w:tc>
        <w:tc>
          <w:tcPr>
            <w:tcW w:w="2034" w:type="dxa"/>
            <w:tcBorders>
              <w:top w:val="single" w:color="000000" w:sz="4" w:space="0"/>
              <w:left w:val="single" w:color="000000" w:sz="4" w:space="0"/>
              <w:bottom w:val="double" w:color="000000" w:sz="4" w:space="0"/>
              <w:right w:val="double" w:color="000000" w:sz="4" w:space="0"/>
            </w:tcBorders>
            <w:noWrap w:val="0"/>
            <w:vAlign w:val="center"/>
          </w:tcPr>
          <w:p w14:paraId="61FA98C1">
            <w:pPr>
              <w:spacing w:line="240" w:lineRule="auto"/>
              <w:ind w:firstLine="0"/>
              <w:jc w:val="center"/>
              <w:rPr>
                <w:rFonts w:hint="eastAsia" w:hAnsi="宋体" w:cs="宋体"/>
                <w:sz w:val="21"/>
                <w:szCs w:val="21"/>
                <w:highlight w:val="green"/>
              </w:rPr>
            </w:pPr>
            <w:r>
              <w:rPr>
                <w:rFonts w:hint="eastAsia" w:hAnsi="宋体" w:cs="宋体"/>
                <w:sz w:val="21"/>
                <w:szCs w:val="21"/>
                <w:highlight w:val="green"/>
              </w:rPr>
              <w:t>1.5</w:t>
            </w:r>
          </w:p>
        </w:tc>
      </w:tr>
    </w:tbl>
    <w:p w14:paraId="76F2A59D">
      <w:pPr>
        <w:ind w:firstLine="0"/>
        <w:jc w:val="center"/>
        <w:rPr>
          <w:rFonts w:hint="eastAsia" w:hAnsi="宋体" w:cs="宋体"/>
          <w:b/>
          <w:kern w:val="2"/>
          <w:szCs w:val="24"/>
          <w:highlight w:val="green"/>
          <w:u w:val="single"/>
          <w:lang w:val="en-US" w:eastAsia="zh-CN"/>
        </w:rPr>
      </w:pPr>
      <w:r>
        <w:rPr>
          <w:rFonts w:hint="eastAsia" w:hAnsi="宋体" w:cs="宋体"/>
          <w:b/>
          <w:kern w:val="2"/>
          <w:szCs w:val="24"/>
          <w:highlight w:val="green"/>
          <w:u w:val="single"/>
          <w:lang w:val="en-US" w:eastAsia="zh-CN"/>
        </w:rPr>
        <w:t>交叉口照明标准值</w:t>
      </w:r>
    </w:p>
    <w:tbl>
      <w:tblPr>
        <w:tblStyle w:val="13"/>
        <w:tblpPr w:leftFromText="180" w:rightFromText="180" w:vertAnchor="text" w:tblpXSpec="center" w:tblpY="1"/>
        <w:tblOverlap w:val="never"/>
        <w:tblW w:w="50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2798"/>
        <w:gridCol w:w="1616"/>
        <w:gridCol w:w="3817"/>
      </w:tblGrid>
      <w:tr w14:paraId="5B3E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1" w:type="dxa"/>
            <w:tcBorders>
              <w:bottom w:val="single" w:color="auto" w:sz="4" w:space="0"/>
            </w:tcBorders>
            <w:noWrap w:val="0"/>
            <w:vAlign w:val="center"/>
          </w:tcPr>
          <w:p w14:paraId="17C362F2">
            <w:pPr>
              <w:ind w:firstLine="0"/>
              <w:rPr>
                <w:highlight w:val="green"/>
              </w:rPr>
            </w:pPr>
            <w:r>
              <w:rPr>
                <w:highlight w:val="green"/>
              </w:rPr>
              <w:t>交会区类型</w:t>
            </w:r>
          </w:p>
        </w:tc>
        <w:tc>
          <w:tcPr>
            <w:tcW w:w="2798" w:type="dxa"/>
            <w:tcBorders>
              <w:bottom w:val="single" w:color="auto" w:sz="4" w:space="0"/>
            </w:tcBorders>
            <w:noWrap w:val="0"/>
            <w:vAlign w:val="center"/>
          </w:tcPr>
          <w:p w14:paraId="32EEEDDF">
            <w:pPr>
              <w:ind w:firstLine="0"/>
              <w:rPr>
                <w:highlight w:val="green"/>
              </w:rPr>
            </w:pPr>
            <w:r>
              <w:rPr>
                <w:highlight w:val="green"/>
              </w:rPr>
              <w:t>路面平均照度 Eh,av(lx)，维持值</w:t>
            </w:r>
          </w:p>
        </w:tc>
        <w:tc>
          <w:tcPr>
            <w:tcW w:w="1616" w:type="dxa"/>
            <w:tcBorders>
              <w:bottom w:val="single" w:color="auto" w:sz="4" w:space="0"/>
            </w:tcBorders>
            <w:noWrap w:val="0"/>
            <w:vAlign w:val="center"/>
          </w:tcPr>
          <w:p w14:paraId="4281FE7A">
            <w:pPr>
              <w:ind w:firstLine="0"/>
              <w:rPr>
                <w:highlight w:val="green"/>
              </w:rPr>
            </w:pPr>
            <w:r>
              <w:rPr>
                <w:highlight w:val="green"/>
              </w:rPr>
              <w:t>照度均匀度 UE</w:t>
            </w:r>
          </w:p>
        </w:tc>
        <w:tc>
          <w:tcPr>
            <w:tcW w:w="3817" w:type="dxa"/>
            <w:tcBorders>
              <w:bottom w:val="single" w:color="auto" w:sz="4" w:space="0"/>
            </w:tcBorders>
            <w:noWrap w:val="0"/>
            <w:vAlign w:val="center"/>
          </w:tcPr>
          <w:p w14:paraId="790BACA6">
            <w:pPr>
              <w:ind w:firstLine="0"/>
              <w:jc w:val="center"/>
              <w:rPr>
                <w:highlight w:val="green"/>
              </w:rPr>
            </w:pPr>
            <w:r>
              <w:rPr>
                <w:highlight w:val="green"/>
              </w:rPr>
              <w:t>眩光限制</w:t>
            </w:r>
          </w:p>
        </w:tc>
      </w:tr>
      <w:tr w14:paraId="0C63C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941" w:type="dxa"/>
            <w:noWrap w:val="0"/>
            <w:vAlign w:val="center"/>
          </w:tcPr>
          <w:p w14:paraId="3E9626EC">
            <w:pPr>
              <w:ind w:firstLine="0"/>
              <w:rPr>
                <w:highlight w:val="green"/>
              </w:rPr>
            </w:pPr>
            <w:r>
              <w:rPr>
                <w:highlight w:val="green"/>
              </w:rPr>
              <w:t>次干路与支路交会</w:t>
            </w:r>
          </w:p>
        </w:tc>
        <w:tc>
          <w:tcPr>
            <w:tcW w:w="2798" w:type="dxa"/>
            <w:noWrap w:val="0"/>
            <w:vAlign w:val="center"/>
          </w:tcPr>
          <w:p w14:paraId="31D99FB7">
            <w:pPr>
              <w:ind w:firstLine="0"/>
              <w:jc w:val="center"/>
              <w:rPr>
                <w:rFonts w:hint="default" w:eastAsiaTheme="minorEastAsia"/>
                <w:highlight w:val="green"/>
                <w:lang w:val="en-US" w:eastAsia="zh-CN"/>
              </w:rPr>
            </w:pPr>
            <w:r>
              <w:rPr>
                <w:rFonts w:hint="eastAsia"/>
                <w:highlight w:val="green"/>
                <w:lang w:val="en-US" w:eastAsia="zh-CN"/>
              </w:rPr>
              <w:t>30</w:t>
            </w:r>
          </w:p>
        </w:tc>
        <w:tc>
          <w:tcPr>
            <w:tcW w:w="1616" w:type="dxa"/>
            <w:noWrap w:val="0"/>
            <w:vAlign w:val="center"/>
          </w:tcPr>
          <w:p w14:paraId="19B52898">
            <w:pPr>
              <w:ind w:firstLine="0"/>
              <w:jc w:val="center"/>
              <w:rPr>
                <w:highlight w:val="green"/>
              </w:rPr>
            </w:pPr>
            <w:r>
              <w:rPr>
                <w:highlight w:val="green"/>
              </w:rPr>
              <w:t>0.4</w:t>
            </w:r>
          </w:p>
        </w:tc>
        <w:tc>
          <w:tcPr>
            <w:tcW w:w="3817" w:type="dxa"/>
            <w:noWrap w:val="0"/>
            <w:vAlign w:val="center"/>
          </w:tcPr>
          <w:p w14:paraId="446B07B7">
            <w:pPr>
              <w:rPr>
                <w:highlight w:val="green"/>
              </w:rPr>
            </w:pPr>
            <w:r>
              <w:rPr>
                <w:highlight w:val="green"/>
              </w:rPr>
              <w:t>在驾驶员观看灯具的方位角上，灯具在 80°和 90°高度角方向上的光强分别不得超过30cd/1000lm和 10cd/1000lm。</w:t>
            </w:r>
          </w:p>
        </w:tc>
      </w:tr>
    </w:tbl>
    <w:p w14:paraId="37E2F91C">
      <w:pPr>
        <w:pStyle w:val="5"/>
      </w:pPr>
    </w:p>
    <w:p w14:paraId="325F8BD8">
      <w:pPr>
        <w:pStyle w:val="3"/>
        <w:pageBreakBefore w:val="0"/>
        <w:kinsoku/>
        <w:overflowPunct/>
        <w:bidi w:val="0"/>
        <w:spacing w:before="0" w:beforeLines="0" w:beforeAutospacing="0" w:after="0" w:afterLines="0" w:afterAutospacing="0" w:line="360" w:lineRule="auto"/>
        <w:ind w:left="0" w:leftChars="0" w:right="0" w:rightChars="0"/>
        <w:rPr>
          <w:rFonts w:hint="default" w:ascii="Arial" w:hAnsi="Arial"/>
          <w:szCs w:val="22"/>
          <w:highlight w:val="none"/>
          <w:lang w:val="en-US" w:eastAsia="zh-CN"/>
        </w:rPr>
      </w:pPr>
      <w:r>
        <w:rPr>
          <w:rFonts w:hint="eastAsia" w:ascii="Arial" w:hAnsi="Arial"/>
          <w:szCs w:val="22"/>
          <w:highlight w:val="none"/>
          <w:lang w:val="en-US" w:eastAsia="zh-CN"/>
        </w:rPr>
        <w:t>5.4道路照明设计</w:t>
      </w:r>
    </w:p>
    <w:p w14:paraId="6137145A">
      <w:pPr>
        <w:pStyle w:val="4"/>
        <w:pageBreakBefore w:val="0"/>
        <w:kinsoku/>
        <w:overflowPunct/>
        <w:bidi w:val="0"/>
        <w:spacing w:beforeAutospacing="0" w:afterAutospacing="0" w:line="360" w:lineRule="auto"/>
        <w:ind w:left="0" w:leftChars="0" w:right="0" w:rightChars="0"/>
        <w:rPr>
          <w:rFonts w:hint="default" w:ascii="Times New Roman" w:hAnsi="Times New Roman"/>
          <w:szCs w:val="22"/>
          <w:highlight w:val="none"/>
          <w:lang w:val="en-US" w:eastAsia="zh-CN"/>
        </w:rPr>
      </w:pPr>
      <w:r>
        <w:rPr>
          <w:rFonts w:hint="eastAsia"/>
          <w:szCs w:val="22"/>
          <w:highlight w:val="none"/>
          <w:lang w:val="en-US" w:eastAsia="zh-CN"/>
        </w:rPr>
        <w:t>5</w:t>
      </w:r>
      <w:r>
        <w:rPr>
          <w:rFonts w:hint="eastAsia" w:ascii="Times New Roman" w:hAnsi="Times New Roman"/>
          <w:szCs w:val="22"/>
          <w:highlight w:val="none"/>
          <w:lang w:val="en-US" w:eastAsia="zh-CN"/>
        </w:rPr>
        <w:t>.</w:t>
      </w:r>
      <w:r>
        <w:rPr>
          <w:rFonts w:hint="eastAsia"/>
          <w:szCs w:val="22"/>
          <w:highlight w:val="none"/>
          <w:lang w:val="en-US" w:eastAsia="zh-CN"/>
        </w:rPr>
        <w:t>4</w:t>
      </w:r>
      <w:r>
        <w:rPr>
          <w:rFonts w:hint="eastAsia" w:ascii="Times New Roman" w:hAnsi="Times New Roman"/>
          <w:szCs w:val="22"/>
          <w:highlight w:val="none"/>
          <w:lang w:val="en-US" w:eastAsia="zh-CN"/>
        </w:rPr>
        <w:t>.1 供电系统</w:t>
      </w:r>
    </w:p>
    <w:p w14:paraId="6C2294CB">
      <w:pPr>
        <w:shd w:val="clear" w:color="auto" w:fill="auto"/>
        <w:spacing w:line="360" w:lineRule="auto"/>
        <w:ind w:firstLine="480"/>
        <w:jc w:val="left"/>
        <w:rPr>
          <w:rFonts w:hint="default" w:ascii="宋体" w:hAnsi="Times New Roman" w:eastAsia="宋体" w:cs="Times New Roman"/>
          <w:color w:val="auto"/>
          <w:sz w:val="24"/>
          <w:szCs w:val="22"/>
          <w:highlight w:val="none"/>
          <w:lang w:val="en-US" w:eastAsia="zh-CN"/>
        </w:rPr>
      </w:pPr>
      <w:r>
        <w:rPr>
          <w:rFonts w:hint="eastAsia" w:ascii="宋体" w:hAnsi="宋体" w:eastAsia="宋体" w:cs="Times New Roman"/>
          <w:spacing w:val="8"/>
          <w:sz w:val="24"/>
          <w:highlight w:val="none"/>
          <w:lang w:val="en-US" w:eastAsia="zh-CN"/>
        </w:rPr>
        <w:t>本工程道路照明用电负荷等级为三级，道路照明总负荷约为2.18kW。</w:t>
      </w:r>
      <w:r>
        <w:rPr>
          <w:rFonts w:hint="eastAsia" w:ascii="宋体" w:hAnsi="Times New Roman" w:eastAsia="宋体" w:cs="Times New Roman"/>
          <w:color w:val="auto"/>
          <w:sz w:val="24"/>
          <w:szCs w:val="22"/>
          <w:highlight w:val="none"/>
          <w:lang w:val="en-US" w:eastAsia="zh-CN"/>
        </w:rPr>
        <w:t>路灯电源接就近低压电网，设置一台配电箱。</w:t>
      </w:r>
    </w:p>
    <w:p w14:paraId="45C4DD56">
      <w:pPr>
        <w:pStyle w:val="4"/>
        <w:pageBreakBefore w:val="0"/>
        <w:kinsoku/>
        <w:overflowPunct/>
        <w:bidi w:val="0"/>
        <w:spacing w:beforeAutospacing="0" w:afterAutospacing="0" w:line="360" w:lineRule="auto"/>
        <w:ind w:left="0" w:leftChars="0" w:right="0" w:rightChars="0"/>
        <w:rPr>
          <w:rFonts w:hint="default" w:ascii="Times New Roman" w:hAnsi="Times New Roman"/>
          <w:szCs w:val="22"/>
          <w:highlight w:val="none"/>
          <w:lang w:val="en-US" w:eastAsia="zh-CN"/>
        </w:rPr>
      </w:pPr>
      <w:r>
        <w:rPr>
          <w:rFonts w:hint="eastAsia"/>
          <w:szCs w:val="22"/>
          <w:highlight w:val="none"/>
          <w:lang w:val="en-US" w:eastAsia="zh-CN"/>
        </w:rPr>
        <w:t>5</w:t>
      </w:r>
      <w:r>
        <w:rPr>
          <w:rFonts w:hint="eastAsia" w:ascii="Times New Roman" w:hAnsi="Times New Roman"/>
          <w:szCs w:val="22"/>
          <w:highlight w:val="none"/>
          <w:lang w:val="en-US" w:eastAsia="zh-CN"/>
        </w:rPr>
        <w:t>.</w:t>
      </w:r>
      <w:r>
        <w:rPr>
          <w:rFonts w:hint="eastAsia"/>
          <w:szCs w:val="22"/>
          <w:highlight w:val="none"/>
          <w:lang w:val="en-US" w:eastAsia="zh-CN"/>
        </w:rPr>
        <w:t>4</w:t>
      </w:r>
      <w:r>
        <w:rPr>
          <w:rFonts w:hint="eastAsia" w:ascii="Times New Roman" w:hAnsi="Times New Roman"/>
          <w:szCs w:val="22"/>
          <w:highlight w:val="none"/>
          <w:lang w:val="en-US" w:eastAsia="zh-CN"/>
        </w:rPr>
        <w:t>.2 布灯方式</w:t>
      </w:r>
    </w:p>
    <w:p w14:paraId="4A417080">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采用单侧布灯的方式，灯杆间距30米，灯杆为单侧挑臂，杆高9米高，配90W灯具，光源为LED灯。</w:t>
      </w:r>
    </w:p>
    <w:p w14:paraId="64B9A231">
      <w:pPr>
        <w:pStyle w:val="4"/>
        <w:pageBreakBefore w:val="0"/>
        <w:kinsoku/>
        <w:overflowPunct/>
        <w:bidi w:val="0"/>
        <w:spacing w:beforeAutospacing="0" w:afterAutospacing="0" w:line="360" w:lineRule="auto"/>
        <w:ind w:left="0" w:leftChars="0" w:right="0" w:rightChars="0"/>
        <w:rPr>
          <w:rFonts w:hint="default" w:ascii="Times New Roman" w:hAnsi="Times New Roman"/>
          <w:szCs w:val="22"/>
          <w:highlight w:val="none"/>
          <w:lang w:val="en-US" w:eastAsia="zh-CN"/>
        </w:rPr>
      </w:pPr>
      <w:r>
        <w:rPr>
          <w:rFonts w:hint="eastAsia"/>
          <w:szCs w:val="22"/>
          <w:highlight w:val="none"/>
          <w:lang w:val="en-US" w:eastAsia="zh-CN"/>
        </w:rPr>
        <w:t>5</w:t>
      </w:r>
      <w:r>
        <w:rPr>
          <w:rFonts w:hint="eastAsia" w:ascii="Times New Roman" w:hAnsi="Times New Roman"/>
          <w:szCs w:val="22"/>
          <w:highlight w:val="none"/>
          <w:lang w:val="en-US" w:eastAsia="zh-CN"/>
        </w:rPr>
        <w:t>.</w:t>
      </w:r>
      <w:r>
        <w:rPr>
          <w:rFonts w:hint="eastAsia"/>
          <w:szCs w:val="22"/>
          <w:highlight w:val="none"/>
          <w:lang w:val="en-US" w:eastAsia="zh-CN"/>
        </w:rPr>
        <w:t>4</w:t>
      </w:r>
      <w:r>
        <w:rPr>
          <w:rFonts w:hint="eastAsia" w:ascii="Times New Roman" w:hAnsi="Times New Roman"/>
          <w:szCs w:val="22"/>
          <w:highlight w:val="none"/>
          <w:lang w:val="en-US" w:eastAsia="zh-CN"/>
        </w:rPr>
        <w:t>.3 灯具选择</w:t>
      </w:r>
    </w:p>
    <w:p w14:paraId="015CCE5F">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bookmarkStart w:id="26" w:name="_Toc56961345"/>
      <w:r>
        <w:rPr>
          <w:rFonts w:hint="eastAsia"/>
          <w:sz w:val="24"/>
          <w:szCs w:val="24"/>
          <w:highlight w:val="none"/>
          <w:lang w:val="en-US" w:eastAsia="zh-CN"/>
        </w:rPr>
        <w:t>（1）光源选用发光效率高、损耗低、寿命长的LED光源，并配以重量轻、强度高、外观美观、防尘、防水、耐腐蚀的半截光型灯具；灯杆外形根据当地周围建筑风格和景观合理配置，与环境协调，具体由业主选定。</w:t>
      </w:r>
    </w:p>
    <w:p w14:paraId="33993F15">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灯具的功率因数不小于0.9；</w:t>
      </w:r>
    </w:p>
    <w:p w14:paraId="022BEEA0">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灯具色温3000≤Tc≤4000，灯具效能不低于95（lm/W）。</w:t>
      </w:r>
    </w:p>
    <w:p w14:paraId="4169F320">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在标称工作状态下，灯具连续燃点3000小时的光通量维持率不小于96%，灯具连续燃点6000小时的光通量维持率不小于92%。</w:t>
      </w:r>
    </w:p>
    <w:p w14:paraId="407D46CB">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LED路灯散热灯具初始仰角：10度（仰角可调）。</w:t>
      </w:r>
    </w:p>
    <w:p w14:paraId="1A08F49F">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（2） 灯杆采用内外壁热浸锌圆锥型钢管喷塑灯杆，灯杆材料为Q235B，氩气保护焊接，采用热镀锌内外表面防腐处理；热镀锌层厚度≥70μm，锥度12/1000，喷塑宜采用附着力强、能抗强烈太阳紫外线的优质塑粉，壁厚不小于4mm。 其制作应符合相应行业标准。抗风等级不小于38.9m/s。</w:t>
      </w:r>
    </w:p>
    <w:p w14:paraId="14AE96DB">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（3）灯杆基础置于原状土上，地基承载力大于100kpa，如遇不良地质土层应进行地基处理。灯杆基础周围回填土应按道路土路肩压实度要求处理，回填土密实度不应小于95%。</w:t>
      </w:r>
    </w:p>
    <w:bookmarkEnd w:id="26"/>
    <w:p w14:paraId="383D1C77">
      <w:pPr>
        <w:pStyle w:val="4"/>
        <w:pageBreakBefore w:val="0"/>
        <w:kinsoku/>
        <w:overflowPunct/>
        <w:bidi w:val="0"/>
        <w:spacing w:beforeAutospacing="0" w:afterAutospacing="0" w:line="360" w:lineRule="auto"/>
        <w:ind w:left="0" w:leftChars="0" w:right="0" w:rightChars="0"/>
        <w:rPr>
          <w:rFonts w:hint="default" w:ascii="Times New Roman" w:hAnsi="Times New Roman"/>
          <w:szCs w:val="22"/>
          <w:highlight w:val="none"/>
          <w:lang w:val="en-US" w:eastAsia="zh-CN"/>
        </w:rPr>
      </w:pPr>
      <w:r>
        <w:rPr>
          <w:rFonts w:hint="eastAsia"/>
          <w:szCs w:val="22"/>
          <w:highlight w:val="none"/>
          <w:lang w:val="en-US" w:eastAsia="zh-CN"/>
        </w:rPr>
        <w:t>5</w:t>
      </w:r>
      <w:r>
        <w:rPr>
          <w:rFonts w:hint="eastAsia" w:ascii="Times New Roman" w:hAnsi="Times New Roman"/>
          <w:szCs w:val="22"/>
          <w:highlight w:val="none"/>
          <w:lang w:val="en-US" w:eastAsia="zh-CN"/>
        </w:rPr>
        <w:t>.</w:t>
      </w:r>
      <w:r>
        <w:rPr>
          <w:rFonts w:hint="eastAsia"/>
          <w:szCs w:val="22"/>
          <w:highlight w:val="none"/>
          <w:lang w:val="en-US" w:eastAsia="zh-CN"/>
        </w:rPr>
        <w:t>4</w:t>
      </w:r>
      <w:r>
        <w:rPr>
          <w:rFonts w:hint="eastAsia" w:ascii="Times New Roman" w:hAnsi="Times New Roman"/>
          <w:szCs w:val="22"/>
          <w:highlight w:val="none"/>
          <w:lang w:val="en-US" w:eastAsia="zh-CN"/>
        </w:rPr>
        <w:t>.4 照明控制</w:t>
      </w:r>
    </w:p>
    <w:p w14:paraId="534B9D82">
      <w:pPr>
        <w:tabs>
          <w:tab w:val="left" w:pos="180"/>
        </w:tabs>
        <w:spacing w:line="360" w:lineRule="auto"/>
        <w:ind w:firstLine="512" w:firstLineChars="200"/>
        <w:rPr>
          <w:rFonts w:hint="eastAsia" w:ascii="宋体" w:hAnsi="宋体" w:eastAsia="宋体" w:cs="Times New Roman"/>
          <w:spacing w:val="8"/>
          <w:sz w:val="24"/>
          <w:highlight w:val="none"/>
          <w:lang w:val="en-US" w:eastAsia="zh-CN"/>
        </w:rPr>
      </w:pPr>
      <w:r>
        <w:rPr>
          <w:rFonts w:hint="eastAsia" w:ascii="宋体" w:hAnsi="宋体" w:eastAsia="宋体" w:cs="Times New Roman"/>
          <w:spacing w:val="8"/>
          <w:sz w:val="24"/>
          <w:highlight w:val="none"/>
          <w:lang w:val="en-US" w:eastAsia="zh-CN"/>
        </w:rPr>
        <w:t>采用自控和手控相结合的控制方式，并预留接口，可直接通过外接接口和城市照明控制中心通讯。路灯自动控制采用电脑时控仪和光控开关，采用全夜灯控制方式。后半夜路灯降功率运行（灯具配单灯控制器），降功率后的平均照度大于10LX。</w:t>
      </w:r>
    </w:p>
    <w:p w14:paraId="07E6AA82">
      <w:pPr>
        <w:pStyle w:val="4"/>
        <w:pageBreakBefore w:val="0"/>
        <w:kinsoku/>
        <w:overflowPunct/>
        <w:bidi w:val="0"/>
        <w:spacing w:beforeAutospacing="0" w:afterAutospacing="0" w:line="360" w:lineRule="auto"/>
        <w:ind w:left="0" w:leftChars="0" w:right="0" w:rightChars="0"/>
        <w:rPr>
          <w:rFonts w:hint="eastAsia" w:ascii="Times New Roman" w:hAnsi="Times New Roman"/>
          <w:szCs w:val="22"/>
          <w:highlight w:val="none"/>
          <w:lang w:val="en-US" w:eastAsia="zh-CN"/>
        </w:rPr>
      </w:pPr>
      <w:r>
        <w:rPr>
          <w:rFonts w:hint="eastAsia"/>
          <w:szCs w:val="22"/>
          <w:highlight w:val="none"/>
          <w:lang w:val="en-US" w:eastAsia="zh-CN"/>
        </w:rPr>
        <w:t>5</w:t>
      </w:r>
      <w:r>
        <w:rPr>
          <w:rFonts w:hint="eastAsia" w:ascii="Times New Roman" w:hAnsi="Times New Roman"/>
          <w:szCs w:val="22"/>
          <w:highlight w:val="none"/>
          <w:lang w:val="en-US" w:eastAsia="zh-CN"/>
        </w:rPr>
        <w:t>.</w:t>
      </w:r>
      <w:r>
        <w:rPr>
          <w:rFonts w:hint="eastAsia"/>
          <w:szCs w:val="22"/>
          <w:highlight w:val="none"/>
          <w:lang w:val="en-US" w:eastAsia="zh-CN"/>
        </w:rPr>
        <w:t>4</w:t>
      </w:r>
      <w:r>
        <w:rPr>
          <w:rFonts w:hint="eastAsia" w:ascii="Times New Roman" w:hAnsi="Times New Roman"/>
          <w:szCs w:val="22"/>
          <w:highlight w:val="none"/>
          <w:lang w:val="en-US" w:eastAsia="zh-CN"/>
        </w:rPr>
        <w:t>.5 电线电缆选线及敷设方式</w:t>
      </w:r>
    </w:p>
    <w:p w14:paraId="35C29FAD">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所有电线、电缆均采用防潮、防腐、抗老化型产品，电线电缆按允许载流量选择，按电压损失和热稳定效验。</w:t>
      </w:r>
    </w:p>
    <w:p w14:paraId="7944B01B">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道路照明主干线选用YJV22-1KV-(5×16)铠装电缆，直埋地暗敷，要求沿电缆全长上下铺设不小于100mm的砂层，沿电缆全长覆盖宽度不小于电缆两侧各50mm的砖保护板电缆在人行道上和隔离带内埋设深度距地面不小于0.7米，在车行道下埋设深度距地面不小于1.0米并穿SC80 镀锌钢管保护。</w:t>
      </w:r>
    </w:p>
    <w:p w14:paraId="5E1BF2D3">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电缆过街、过路口及引入引出箱变处均穿SC80热镀锌钢管保护，钢管需做防腐处理，并在两端设置手孔井。路灯内引上线采用RVV-3*2.5 mm2 塑料绝缘铜芯线，一盏灯引一根线并配置一个熔断器。电缆芯线的连接采用压接式，所有的连接接头必须在灯杆内，电缆的接头和终端头采用热缩保护套。每杆灯杆内的电缆至少应留有1m长的余量。</w:t>
      </w:r>
    </w:p>
    <w:p w14:paraId="2489FB97">
      <w:pPr>
        <w:pStyle w:val="4"/>
        <w:pageBreakBefore w:val="0"/>
        <w:kinsoku/>
        <w:overflowPunct/>
        <w:bidi w:val="0"/>
        <w:spacing w:beforeAutospacing="0" w:afterAutospacing="0" w:line="360" w:lineRule="auto"/>
        <w:ind w:left="0" w:leftChars="0" w:right="0" w:rightChars="0"/>
        <w:rPr>
          <w:rFonts w:hint="default" w:ascii="Times New Roman" w:hAnsi="Times New Roman"/>
          <w:szCs w:val="22"/>
          <w:highlight w:val="none"/>
          <w:lang w:val="en-US" w:eastAsia="zh-CN"/>
        </w:rPr>
      </w:pPr>
      <w:r>
        <w:rPr>
          <w:rFonts w:hint="eastAsia"/>
          <w:szCs w:val="22"/>
          <w:highlight w:val="none"/>
          <w:lang w:val="en-US" w:eastAsia="zh-CN"/>
        </w:rPr>
        <w:t>5</w:t>
      </w:r>
      <w:r>
        <w:rPr>
          <w:rFonts w:hint="eastAsia" w:ascii="Times New Roman" w:hAnsi="Times New Roman"/>
          <w:szCs w:val="22"/>
          <w:highlight w:val="none"/>
          <w:lang w:val="en-US" w:eastAsia="zh-CN"/>
        </w:rPr>
        <w:t>.5.6 接地系统</w:t>
      </w:r>
    </w:p>
    <w:p w14:paraId="05A0B446">
      <w:pPr>
        <w:tabs>
          <w:tab w:val="left" w:pos="180"/>
        </w:tabs>
        <w:spacing w:line="360" w:lineRule="auto"/>
        <w:ind w:firstLine="512" w:firstLineChars="200"/>
        <w:rPr>
          <w:rFonts w:hint="eastAsia" w:ascii="宋体" w:hAnsi="宋体"/>
          <w:spacing w:val="8"/>
          <w:sz w:val="24"/>
          <w:highlight w:val="none"/>
          <w:lang w:val="en-US" w:eastAsia="zh-CN"/>
        </w:rPr>
      </w:pPr>
      <w:bookmarkStart w:id="27" w:name="_Toc14866"/>
      <w:bookmarkStart w:id="28" w:name="_Toc10185"/>
      <w:bookmarkStart w:id="29" w:name="_Toc6304"/>
      <w:r>
        <w:rPr>
          <w:rFonts w:hint="eastAsia" w:ascii="宋体" w:hAnsi="宋体"/>
          <w:spacing w:val="8"/>
          <w:sz w:val="24"/>
          <w:highlight w:val="none"/>
          <w:lang w:val="en-US" w:eastAsia="zh-CN"/>
        </w:rPr>
        <w:t>（1）照明配电系统接地型式采用TN-S系统。路灯利用路灯基础钢筋接地，灯杆及穿线钢管应与接地装置可靠连接，并用PE接地干线和箱式变电站接地系统相连。每盏路灯的接地电阻不大于10Ω，路灯接地系统的接地电阻不大于4Ω，PE干线在每杆路灯处作重复接地。</w:t>
      </w:r>
    </w:p>
    <w:p w14:paraId="4203B5E7">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（2）每盏路灯及配电箱处设置重复接地，重复接地电阻不大于10Ω，重复接地优先采用自然接地体，不满足时补打人工接地极，人工接地极做法见图纸。</w:t>
      </w:r>
    </w:p>
    <w:p w14:paraId="15D017A7">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（3）电气设备的下列金属部分均应与PE线可靠连接：</w:t>
      </w:r>
    </w:p>
    <w:p w14:paraId="5F204EF6">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①配电箱的金属底座、外壳和金属门；</w:t>
      </w:r>
    </w:p>
    <w:p w14:paraId="4022B4D9">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②室内外配电装置的金属构架及靠近带点部位的金属遮拦；</w:t>
      </w:r>
    </w:p>
    <w:p w14:paraId="05012F56">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③电力电缆的金属铠装、接线盒和保护管；</w:t>
      </w:r>
    </w:p>
    <w:p w14:paraId="4ABF014D">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④钢灯杆、金属灯座、照明灯具的金属外壳。</w:t>
      </w:r>
    </w:p>
    <w:p w14:paraId="0E7D10EF">
      <w:pPr>
        <w:pStyle w:val="2"/>
        <w:pageBreakBefore w:val="0"/>
        <w:kinsoku/>
        <w:overflowPunct/>
        <w:bidi w:val="0"/>
        <w:spacing w:before="0" w:beforeLines="0" w:beforeAutospacing="0" w:after="0" w:afterLines="0" w:afterAutospacing="0" w:line="360" w:lineRule="auto"/>
        <w:ind w:left="0" w:leftChars="0" w:right="0" w:rightChars="0"/>
        <w:rPr>
          <w:rFonts w:hint="default"/>
          <w:highlight w:val="none"/>
          <w:lang w:val="en-US" w:eastAsia="zh-CN"/>
        </w:rPr>
      </w:pPr>
      <w:r>
        <w:rPr>
          <w:rFonts w:hint="eastAsia"/>
          <w:highlight w:val="none"/>
          <w:lang w:val="en-US" w:eastAsia="zh-CN"/>
        </w:rPr>
        <w:t>5.5.7 节能专项</w:t>
      </w:r>
    </w:p>
    <w:bookmarkEnd w:id="5"/>
    <w:bookmarkEnd w:id="6"/>
    <w:bookmarkEnd w:id="7"/>
    <w:bookmarkEnd w:id="8"/>
    <w:bookmarkEnd w:id="9"/>
    <w:bookmarkEnd w:id="27"/>
    <w:bookmarkEnd w:id="28"/>
    <w:bookmarkEnd w:id="29"/>
    <w:p w14:paraId="24CC15F2">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功率密度LPD值满足规范要求，并尽量降低。</w:t>
      </w:r>
    </w:p>
    <w:p w14:paraId="718B56EE">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合理配置灯具功率及杆距，在满足照度前提下，准确计算，尽量减小灯具功率并拉大灯距。功率密度LPD值满足规范，并尽量降低；</w:t>
      </w:r>
    </w:p>
    <w:p w14:paraId="25644FFB">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LED灯具的发光效能不低于110m1m/W，色温3000K~4000K，显色指数大于80，使用寿命大于30000H。</w:t>
      </w:r>
    </w:p>
    <w:p w14:paraId="43D41A24">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在满足灯具相关标准、环境比最小值、光强分布和眩光限制要求的前提下，LED照明灯具利用系数不得低于0.55。</w:t>
      </w:r>
    </w:p>
    <w:p w14:paraId="58F34D6E">
      <w:pPr>
        <w:tabs>
          <w:tab w:val="left" w:pos="180"/>
        </w:tabs>
        <w:spacing w:line="360" w:lineRule="auto"/>
        <w:ind w:firstLine="512" w:firstLineChars="200"/>
        <w:rPr>
          <w:rFonts w:hint="eastAsia" w:ascii="宋体" w:hAnsi="宋体"/>
          <w:spacing w:val="8"/>
          <w:sz w:val="24"/>
          <w:highlight w:val="none"/>
          <w:lang w:val="en-US" w:eastAsia="zh-CN"/>
        </w:rPr>
      </w:pPr>
      <w:r>
        <w:rPr>
          <w:rFonts w:hint="eastAsia" w:ascii="宋体" w:hAnsi="宋体"/>
          <w:spacing w:val="8"/>
          <w:sz w:val="24"/>
          <w:highlight w:val="none"/>
          <w:lang w:val="en-US" w:eastAsia="zh-CN"/>
        </w:rPr>
        <w:t>LED灯具的功率因数不小于0.9。</w:t>
      </w:r>
    </w:p>
    <w:p w14:paraId="3E205462">
      <w:pPr>
        <w:pStyle w:val="2"/>
        <w:pageBreakBefore w:val="0"/>
        <w:kinsoku/>
        <w:overflowPunct/>
        <w:bidi w:val="0"/>
        <w:spacing w:before="0" w:beforeLines="0" w:beforeAutospacing="0" w:after="0" w:afterLines="0" w:afterAutospacing="0" w:line="360" w:lineRule="auto"/>
        <w:ind w:left="0" w:leftChars="0" w:right="0" w:rightChars="0"/>
        <w:rPr>
          <w:rFonts w:hint="default" w:hAnsi="宋体" w:eastAsia="宋体"/>
          <w:highlight w:val="green"/>
          <w:lang w:val="en-US" w:eastAsia="zh-CN"/>
        </w:rPr>
      </w:pPr>
      <w:r>
        <w:rPr>
          <w:rFonts w:hint="eastAsia" w:hAnsi="宋体" w:eastAsia="宋体"/>
          <w:highlight w:val="green"/>
          <w:lang w:val="en-US" w:eastAsia="zh-CN"/>
        </w:rPr>
        <w:t>6、地勘及地下水情况</w:t>
      </w:r>
    </w:p>
    <w:p w14:paraId="3ABF93B2">
      <w:pPr>
        <w:pStyle w:val="3"/>
        <w:pageBreakBefore w:val="0"/>
        <w:kinsoku/>
        <w:overflowPunct/>
        <w:bidi w:val="0"/>
        <w:spacing w:before="0" w:beforeLines="0" w:beforeAutospacing="0" w:after="0" w:afterLines="0" w:afterAutospacing="0" w:line="360" w:lineRule="auto"/>
        <w:ind w:left="0" w:leftChars="0" w:right="0" w:rightChars="0"/>
        <w:rPr>
          <w:rFonts w:hint="eastAsia" w:ascii="Arial" w:hAnsi="Arial" w:eastAsia="宋体"/>
          <w:szCs w:val="22"/>
          <w:highlight w:val="green"/>
          <w:lang w:val="en-US" w:eastAsia="zh-CN"/>
        </w:rPr>
      </w:pPr>
      <w:r>
        <w:rPr>
          <w:rFonts w:hint="eastAsia" w:ascii="Arial" w:hAnsi="Arial" w:eastAsia="宋体"/>
          <w:szCs w:val="22"/>
          <w:highlight w:val="green"/>
          <w:lang w:val="en-US" w:eastAsia="zh-CN"/>
        </w:rPr>
        <w:t>6.1地勘</w:t>
      </w:r>
    </w:p>
    <w:p w14:paraId="685BD3A9">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在钻探深度范围内，场地地层由填土层（Qml）、第四系全新统海相沉积层（Q4m）、及第四系上更新统海相沉积层（Q3m）组成。自上而下划分为3个工程地质单元层，其岩性特征分述如下：</w:t>
      </w:r>
    </w:p>
    <w:p w14:paraId="712EAC42">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fldChar w:fldCharType="begin"/>
      </w:r>
      <w:r>
        <w:rPr>
          <w:rFonts w:hint="eastAsia" w:ascii="宋体" w:hAnsi="宋体"/>
          <w:spacing w:val="8"/>
          <w:sz w:val="24"/>
          <w:highlight w:val="green"/>
          <w:lang w:val="en-US" w:eastAsia="zh-CN"/>
        </w:rPr>
        <w:instrText xml:space="preserve"> = 1 \* GB3 </w:instrText>
      </w:r>
      <w:r>
        <w:rPr>
          <w:rFonts w:hint="eastAsia" w:ascii="宋体" w:hAnsi="宋体"/>
          <w:spacing w:val="8"/>
          <w:sz w:val="24"/>
          <w:highlight w:val="green"/>
          <w:lang w:val="en-US" w:eastAsia="zh-CN"/>
        </w:rPr>
        <w:fldChar w:fldCharType="separate"/>
      </w:r>
      <w:r>
        <w:rPr>
          <w:rFonts w:hint="eastAsia" w:ascii="宋体" w:hAnsi="宋体"/>
          <w:spacing w:val="8"/>
          <w:sz w:val="24"/>
          <w:highlight w:val="green"/>
          <w:lang w:val="en-US" w:eastAsia="zh-CN"/>
        </w:rPr>
        <w:t>①</w:t>
      </w:r>
      <w:r>
        <w:rPr>
          <w:rFonts w:hint="eastAsia" w:ascii="宋体" w:hAnsi="宋体"/>
          <w:spacing w:val="8"/>
          <w:sz w:val="24"/>
          <w:highlight w:val="green"/>
          <w:lang w:val="en-US" w:eastAsia="zh-CN"/>
        </w:rPr>
        <w:fldChar w:fldCharType="end"/>
      </w:r>
      <w:r>
        <w:rPr>
          <w:rFonts w:hint="eastAsia" w:ascii="宋体" w:hAnsi="宋体"/>
          <w:spacing w:val="8"/>
          <w:sz w:val="24"/>
          <w:highlight w:val="green"/>
          <w:lang w:val="en-US" w:eastAsia="zh-CN"/>
        </w:rPr>
        <w:t>层，素填土（Qml）：灰褐色，松散，土质不均匀，成分主要以砂土、碎石为主，表层为植物根系。该层全钻孔均有揭露。</w:t>
      </w:r>
    </w:p>
    <w:p w14:paraId="06A99EF5">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②层，细砂（Q4m）：黄色，松散状，稍湿~饱和，石英质，颗粒呈棱角形，颗粒级配不良，主要颗粒为细粒，粘粒含量较高。该层全钻孔均有揭露。</w:t>
      </w:r>
    </w:p>
    <w:p w14:paraId="2F10DB68">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③层，细砂（Q3m）：灰白色，松散~稍密状，饱和，石英质，颗粒呈棱角形，颗粒级配不良，主要颗粒为细粒。该层全钻孔均揭露。未揭穿。</w:t>
      </w:r>
    </w:p>
    <w:p w14:paraId="51F543DF">
      <w:pPr>
        <w:tabs>
          <w:tab w:val="left" w:pos="180"/>
        </w:tabs>
        <w:spacing w:line="360" w:lineRule="auto"/>
        <w:ind w:firstLine="512" w:firstLineChars="200"/>
        <w:rPr>
          <w:rFonts w:hint="eastAsia" w:ascii="宋体" w:hAnsi="宋体"/>
          <w:spacing w:val="8"/>
          <w:highlight w:val="green"/>
        </w:rPr>
      </w:pPr>
      <w:r>
        <w:rPr>
          <w:rFonts w:hint="eastAsia" w:ascii="宋体" w:hAnsi="宋体"/>
          <w:spacing w:val="8"/>
          <w:sz w:val="24"/>
          <w:highlight w:val="green"/>
          <w:lang w:val="en-US" w:eastAsia="zh-CN"/>
        </w:rPr>
        <w:t>根据统计结果及各土层工程特性分析结果，结合当地经验提出各土层地基承载力基本容许值及强度与变形参数建议值如表5-5。</w:t>
      </w:r>
      <w:r>
        <w:rPr>
          <w:rFonts w:ascii="宋体" w:hAnsi="宋体"/>
          <w:spacing w:val="8"/>
          <w:highlight w:val="green"/>
        </w:rPr>
        <w:t xml:space="preserve">    </w:t>
      </w:r>
    </w:p>
    <w:p w14:paraId="13FFFA8B">
      <w:pPr>
        <w:spacing w:before="163" w:beforeLines="50"/>
        <w:ind w:firstLine="514"/>
        <w:jc w:val="center"/>
        <w:rPr>
          <w:rFonts w:hint="eastAsia" w:ascii="宋体" w:hAnsi="宋体"/>
          <w:b/>
          <w:spacing w:val="8"/>
          <w:highlight w:val="green"/>
        </w:rPr>
      </w:pPr>
      <w:r>
        <w:rPr>
          <w:rFonts w:hint="eastAsia" w:ascii="宋体" w:hAnsi="宋体"/>
          <w:b/>
          <w:spacing w:val="8"/>
          <w:highlight w:val="green"/>
        </w:rPr>
        <w:t>表5-5</w:t>
      </w:r>
      <w:r>
        <w:rPr>
          <w:rFonts w:ascii="宋体" w:hAnsi="宋体"/>
          <w:b/>
          <w:spacing w:val="8"/>
          <w:highlight w:val="green"/>
        </w:rPr>
        <w:t>岩土设计参数建议值</w:t>
      </w:r>
    </w:p>
    <w:tbl>
      <w:tblPr>
        <w:tblStyle w:val="13"/>
        <w:tblW w:w="4800"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755"/>
        <w:gridCol w:w="1984"/>
        <w:gridCol w:w="1438"/>
        <w:gridCol w:w="2266"/>
        <w:gridCol w:w="2266"/>
      </w:tblGrid>
      <w:tr w14:paraId="5E266F22">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11" w:type="dxa"/>
            <w:gridSpan w:val="2"/>
            <w:tcBorders>
              <w:tl2br w:val="single" w:color="auto" w:sz="4" w:space="0"/>
            </w:tcBorders>
            <w:noWrap w:val="0"/>
            <w:vAlign w:val="center"/>
          </w:tcPr>
          <w:p w14:paraId="5958073F">
            <w:pPr>
              <w:spacing w:line="240" w:lineRule="auto"/>
              <w:ind w:firstLine="0" w:firstLineChars="0"/>
              <w:jc w:val="center"/>
              <w:rPr>
                <w:highlight w:val="green"/>
              </w:rPr>
            </w:pPr>
            <w:r>
              <w:rPr>
                <w:highlight w:val="green"/>
              </w:rPr>
              <w:t>岩土层</w:t>
            </w:r>
          </w:p>
          <w:p w14:paraId="71189C4B">
            <w:pPr>
              <w:spacing w:line="240" w:lineRule="auto"/>
              <w:ind w:firstLine="0" w:firstLineChars="0"/>
              <w:jc w:val="center"/>
              <w:rPr>
                <w:rFonts w:eastAsia="黑体"/>
                <w:highlight w:val="green"/>
              </w:rPr>
            </w:pPr>
            <w:r>
              <w:rPr>
                <w:highlight w:val="green"/>
              </w:rPr>
              <w:t>参数指标</w:t>
            </w:r>
          </w:p>
        </w:tc>
        <w:tc>
          <w:tcPr>
            <w:tcW w:w="1351" w:type="dxa"/>
            <w:noWrap w:val="0"/>
            <w:vAlign w:val="center"/>
          </w:tcPr>
          <w:p w14:paraId="16074B27">
            <w:pPr>
              <w:spacing w:line="240" w:lineRule="auto"/>
              <w:ind w:firstLine="0" w:firstLineChars="0"/>
              <w:jc w:val="center"/>
              <w:rPr>
                <w:highlight w:val="green"/>
              </w:rPr>
            </w:pPr>
            <w:r>
              <w:rPr>
                <w:highlight w:val="green"/>
              </w:rPr>
              <w:fldChar w:fldCharType="begin"/>
            </w:r>
            <w:r>
              <w:rPr>
                <w:highlight w:val="green"/>
              </w:rPr>
              <w:instrText xml:space="preserve"> = 1 \* GB3 </w:instrText>
            </w:r>
            <w:r>
              <w:rPr>
                <w:highlight w:val="green"/>
              </w:rPr>
              <w:fldChar w:fldCharType="separate"/>
            </w:r>
            <w:r>
              <w:rPr>
                <w:highlight w:val="green"/>
              </w:rPr>
              <w:t>①</w:t>
            </w:r>
            <w:r>
              <w:rPr>
                <w:highlight w:val="green"/>
              </w:rPr>
              <w:fldChar w:fldCharType="end"/>
            </w:r>
          </w:p>
          <w:p w14:paraId="2BBE3199">
            <w:pPr>
              <w:spacing w:line="240" w:lineRule="auto"/>
              <w:ind w:firstLine="0" w:firstLineChars="0"/>
              <w:jc w:val="center"/>
              <w:rPr>
                <w:rFonts w:eastAsia="黑体"/>
                <w:highlight w:val="green"/>
              </w:rPr>
            </w:pPr>
            <w:r>
              <w:rPr>
                <w:highlight w:val="green"/>
              </w:rPr>
              <w:t>素填土</w:t>
            </w:r>
          </w:p>
        </w:tc>
        <w:tc>
          <w:tcPr>
            <w:tcW w:w="2128" w:type="dxa"/>
            <w:noWrap w:val="0"/>
            <w:vAlign w:val="center"/>
          </w:tcPr>
          <w:p w14:paraId="00204FB9">
            <w:pPr>
              <w:spacing w:line="240" w:lineRule="auto"/>
              <w:ind w:firstLine="0" w:firstLineChars="0"/>
              <w:jc w:val="center"/>
              <w:rPr>
                <w:rFonts w:hint="eastAsia"/>
                <w:spacing w:val="8"/>
                <w:highlight w:val="green"/>
              </w:rPr>
            </w:pPr>
            <w:r>
              <w:rPr>
                <w:rFonts w:hint="eastAsia"/>
                <w:spacing w:val="8"/>
                <w:highlight w:val="green"/>
              </w:rPr>
              <w:t>②</w:t>
            </w:r>
          </w:p>
          <w:p w14:paraId="635C92E1">
            <w:pPr>
              <w:spacing w:line="240" w:lineRule="auto"/>
              <w:ind w:firstLine="0" w:firstLineChars="0"/>
              <w:jc w:val="center"/>
              <w:rPr>
                <w:spacing w:val="8"/>
                <w:highlight w:val="green"/>
              </w:rPr>
            </w:pPr>
            <w:r>
              <w:rPr>
                <w:rFonts w:hint="eastAsia"/>
                <w:spacing w:val="8"/>
                <w:highlight w:val="green"/>
              </w:rPr>
              <w:t>细</w:t>
            </w:r>
            <w:r>
              <w:rPr>
                <w:spacing w:val="8"/>
                <w:highlight w:val="green"/>
              </w:rPr>
              <w:t>砂</w:t>
            </w:r>
          </w:p>
        </w:tc>
        <w:tc>
          <w:tcPr>
            <w:tcW w:w="2128" w:type="dxa"/>
            <w:noWrap w:val="0"/>
            <w:vAlign w:val="center"/>
          </w:tcPr>
          <w:p w14:paraId="65F7142C">
            <w:pPr>
              <w:spacing w:line="240" w:lineRule="auto"/>
              <w:ind w:firstLine="0" w:firstLineChars="0"/>
              <w:jc w:val="center"/>
              <w:rPr>
                <w:rFonts w:hint="eastAsia"/>
                <w:highlight w:val="green"/>
              </w:rPr>
            </w:pPr>
            <w:r>
              <w:rPr>
                <w:rFonts w:hint="eastAsia"/>
                <w:highlight w:val="green"/>
              </w:rPr>
              <w:t>③</w:t>
            </w:r>
          </w:p>
          <w:p w14:paraId="186010E5">
            <w:pPr>
              <w:spacing w:line="240" w:lineRule="auto"/>
              <w:ind w:firstLine="0" w:firstLineChars="0"/>
              <w:jc w:val="center"/>
              <w:rPr>
                <w:spacing w:val="8"/>
                <w:highlight w:val="green"/>
              </w:rPr>
            </w:pPr>
            <w:r>
              <w:rPr>
                <w:highlight w:val="green"/>
              </w:rPr>
              <w:t>细砂</w:t>
            </w:r>
          </w:p>
        </w:tc>
      </w:tr>
      <w:tr w14:paraId="7D5F871E">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8" w:type="dxa"/>
            <w:noWrap w:val="0"/>
            <w:vAlign w:val="center"/>
          </w:tcPr>
          <w:p w14:paraId="450FDD62">
            <w:pPr>
              <w:spacing w:line="240" w:lineRule="auto"/>
              <w:ind w:firstLine="0" w:firstLineChars="0"/>
              <w:jc w:val="center"/>
              <w:rPr>
                <w:highlight w:val="green"/>
              </w:rPr>
            </w:pPr>
            <w:r>
              <w:rPr>
                <w:highlight w:val="green"/>
              </w:rPr>
              <w:t>承载力</w:t>
            </w:r>
          </w:p>
          <w:p w14:paraId="71559AED">
            <w:pPr>
              <w:spacing w:line="240" w:lineRule="auto"/>
              <w:ind w:firstLine="0" w:firstLineChars="0"/>
              <w:jc w:val="center"/>
              <w:rPr>
                <w:highlight w:val="green"/>
              </w:rPr>
            </w:pPr>
            <w:r>
              <w:rPr>
                <w:highlight w:val="green"/>
              </w:rPr>
              <w:t>容许值</w:t>
            </w:r>
          </w:p>
        </w:tc>
        <w:tc>
          <w:tcPr>
            <w:tcW w:w="1863" w:type="dxa"/>
            <w:noWrap w:val="0"/>
            <w:vAlign w:val="center"/>
          </w:tcPr>
          <w:p w14:paraId="169B4870">
            <w:pPr>
              <w:spacing w:line="240" w:lineRule="auto"/>
              <w:ind w:firstLine="0" w:firstLineChars="0"/>
              <w:jc w:val="center"/>
              <w:rPr>
                <w:highlight w:val="green"/>
              </w:rPr>
            </w:pPr>
            <w:r>
              <w:rPr>
                <w:highlight w:val="green"/>
              </w:rPr>
              <w:t>[</w:t>
            </w:r>
            <w:r>
              <w:rPr>
                <w:i/>
                <w:highlight w:val="green"/>
              </w:rPr>
              <w:t>f</w:t>
            </w:r>
            <w:r>
              <w:rPr>
                <w:iCs/>
                <w:highlight w:val="green"/>
                <w:vertAlign w:val="subscript"/>
              </w:rPr>
              <w:t>ao</w:t>
            </w:r>
            <w:r>
              <w:rPr>
                <w:highlight w:val="green"/>
              </w:rPr>
              <w:t>](kPa)</w:t>
            </w:r>
          </w:p>
        </w:tc>
        <w:tc>
          <w:tcPr>
            <w:tcW w:w="1351" w:type="dxa"/>
            <w:noWrap w:val="0"/>
            <w:vAlign w:val="center"/>
          </w:tcPr>
          <w:p w14:paraId="2DE5D06B">
            <w:pPr>
              <w:spacing w:line="240" w:lineRule="auto"/>
              <w:ind w:firstLine="0" w:firstLineChars="0"/>
              <w:jc w:val="center"/>
              <w:rPr>
                <w:highlight w:val="green"/>
              </w:rPr>
            </w:pPr>
            <w:r>
              <w:rPr>
                <w:highlight w:val="green"/>
              </w:rPr>
              <w:t>/</w:t>
            </w:r>
          </w:p>
        </w:tc>
        <w:tc>
          <w:tcPr>
            <w:tcW w:w="2128" w:type="dxa"/>
            <w:noWrap w:val="0"/>
            <w:vAlign w:val="center"/>
          </w:tcPr>
          <w:p w14:paraId="55BAE9FB">
            <w:pPr>
              <w:spacing w:line="240" w:lineRule="auto"/>
              <w:ind w:firstLine="0" w:firstLineChars="0"/>
              <w:jc w:val="center"/>
              <w:rPr>
                <w:rFonts w:hint="eastAsia"/>
                <w:highlight w:val="green"/>
              </w:rPr>
            </w:pPr>
            <w:r>
              <w:rPr>
                <w:rFonts w:hint="eastAsia"/>
                <w:highlight w:val="green"/>
              </w:rPr>
              <w:t>120</w:t>
            </w:r>
          </w:p>
        </w:tc>
        <w:tc>
          <w:tcPr>
            <w:tcW w:w="2128" w:type="dxa"/>
            <w:noWrap w:val="0"/>
            <w:vAlign w:val="center"/>
          </w:tcPr>
          <w:p w14:paraId="51D87041">
            <w:pPr>
              <w:spacing w:line="240" w:lineRule="auto"/>
              <w:ind w:firstLine="0" w:firstLineChars="0"/>
              <w:jc w:val="center"/>
              <w:rPr>
                <w:rFonts w:hint="eastAsia"/>
                <w:highlight w:val="green"/>
              </w:rPr>
            </w:pPr>
            <w:r>
              <w:rPr>
                <w:rFonts w:hint="eastAsia"/>
                <w:highlight w:val="green"/>
              </w:rPr>
              <w:t>130</w:t>
            </w:r>
          </w:p>
        </w:tc>
      </w:tr>
      <w:tr w14:paraId="12ED0BE0">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8" w:type="dxa"/>
            <w:noWrap w:val="0"/>
            <w:vAlign w:val="center"/>
          </w:tcPr>
          <w:p w14:paraId="126C9B15">
            <w:pPr>
              <w:spacing w:line="240" w:lineRule="auto"/>
              <w:ind w:firstLine="0" w:firstLineChars="0"/>
              <w:jc w:val="center"/>
              <w:rPr>
                <w:highlight w:val="green"/>
              </w:rPr>
            </w:pPr>
            <w:r>
              <w:rPr>
                <w:highlight w:val="green"/>
              </w:rPr>
              <w:t>压缩</w:t>
            </w:r>
          </w:p>
          <w:p w14:paraId="1ACE8972">
            <w:pPr>
              <w:spacing w:line="240" w:lineRule="auto"/>
              <w:ind w:firstLine="0" w:firstLineChars="0"/>
              <w:jc w:val="center"/>
              <w:rPr>
                <w:highlight w:val="green"/>
              </w:rPr>
            </w:pPr>
            <w:r>
              <w:rPr>
                <w:highlight w:val="green"/>
              </w:rPr>
              <w:t>模量</w:t>
            </w:r>
          </w:p>
        </w:tc>
        <w:tc>
          <w:tcPr>
            <w:tcW w:w="1863" w:type="dxa"/>
            <w:noWrap w:val="0"/>
            <w:vAlign w:val="center"/>
          </w:tcPr>
          <w:p w14:paraId="085C9449">
            <w:pPr>
              <w:tabs>
                <w:tab w:val="left" w:pos="1050"/>
              </w:tabs>
              <w:spacing w:line="240" w:lineRule="auto"/>
              <w:ind w:firstLine="0" w:firstLineChars="0"/>
              <w:jc w:val="center"/>
              <w:rPr>
                <w:w w:val="90"/>
                <w:highlight w:val="green"/>
                <w:vertAlign w:val="subscript"/>
              </w:rPr>
            </w:pPr>
            <w:r>
              <w:rPr>
                <w:i/>
                <w:w w:val="90"/>
                <w:highlight w:val="green"/>
              </w:rPr>
              <w:t>E</w:t>
            </w:r>
            <w:r>
              <w:rPr>
                <w:w w:val="90"/>
                <w:highlight w:val="green"/>
              </w:rPr>
              <w:t>s</w:t>
            </w:r>
            <w:r>
              <w:rPr>
                <w:w w:val="90"/>
                <w:highlight w:val="green"/>
                <w:vertAlign w:val="subscript"/>
              </w:rPr>
              <w:t>1-2</w:t>
            </w:r>
            <w:r>
              <w:rPr>
                <w:w w:val="90"/>
                <w:highlight w:val="green"/>
              </w:rPr>
              <w:t>（MPa）</w:t>
            </w:r>
          </w:p>
        </w:tc>
        <w:tc>
          <w:tcPr>
            <w:tcW w:w="1351" w:type="dxa"/>
            <w:noWrap w:val="0"/>
            <w:vAlign w:val="center"/>
          </w:tcPr>
          <w:p w14:paraId="1140F550">
            <w:pPr>
              <w:spacing w:line="240" w:lineRule="auto"/>
              <w:ind w:firstLine="0" w:firstLineChars="0"/>
              <w:jc w:val="center"/>
              <w:rPr>
                <w:highlight w:val="green"/>
              </w:rPr>
            </w:pPr>
            <w:r>
              <w:rPr>
                <w:highlight w:val="green"/>
              </w:rPr>
              <w:t>/</w:t>
            </w:r>
          </w:p>
        </w:tc>
        <w:tc>
          <w:tcPr>
            <w:tcW w:w="2128" w:type="dxa"/>
            <w:noWrap w:val="0"/>
            <w:vAlign w:val="center"/>
          </w:tcPr>
          <w:p w14:paraId="42D105BC">
            <w:pPr>
              <w:spacing w:line="240" w:lineRule="auto"/>
              <w:ind w:firstLine="0" w:firstLineChars="0"/>
              <w:jc w:val="center"/>
              <w:rPr>
                <w:highlight w:val="green"/>
              </w:rPr>
            </w:pPr>
            <w:r>
              <w:rPr>
                <w:highlight w:val="green"/>
              </w:rPr>
              <w:t>3.0*</w:t>
            </w:r>
          </w:p>
        </w:tc>
        <w:tc>
          <w:tcPr>
            <w:tcW w:w="2128" w:type="dxa"/>
            <w:noWrap w:val="0"/>
            <w:vAlign w:val="center"/>
          </w:tcPr>
          <w:p w14:paraId="605477FB">
            <w:pPr>
              <w:spacing w:line="240" w:lineRule="auto"/>
              <w:ind w:firstLine="0" w:firstLineChars="0"/>
              <w:jc w:val="center"/>
              <w:rPr>
                <w:highlight w:val="green"/>
              </w:rPr>
            </w:pPr>
            <w:r>
              <w:rPr>
                <w:highlight w:val="green"/>
              </w:rPr>
              <w:t>3.5*</w:t>
            </w:r>
          </w:p>
        </w:tc>
      </w:tr>
      <w:tr w14:paraId="72473B49">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8" w:type="dxa"/>
            <w:noWrap w:val="0"/>
            <w:vAlign w:val="center"/>
          </w:tcPr>
          <w:p w14:paraId="1B138DE6">
            <w:pPr>
              <w:spacing w:line="240" w:lineRule="auto"/>
              <w:ind w:firstLine="0" w:firstLineChars="0"/>
              <w:jc w:val="center"/>
              <w:rPr>
                <w:highlight w:val="green"/>
              </w:rPr>
            </w:pPr>
            <w:r>
              <w:rPr>
                <w:highlight w:val="green"/>
              </w:rPr>
              <w:t>重度</w:t>
            </w:r>
          </w:p>
        </w:tc>
        <w:tc>
          <w:tcPr>
            <w:tcW w:w="1863" w:type="dxa"/>
            <w:noWrap w:val="0"/>
            <w:vAlign w:val="center"/>
          </w:tcPr>
          <w:p w14:paraId="226BCCD6">
            <w:pPr>
              <w:tabs>
                <w:tab w:val="left" w:pos="1050"/>
              </w:tabs>
              <w:spacing w:line="240" w:lineRule="auto"/>
              <w:ind w:firstLine="0" w:firstLineChars="0"/>
              <w:jc w:val="center"/>
              <w:rPr>
                <w:w w:val="90"/>
                <w:highlight w:val="green"/>
              </w:rPr>
            </w:pPr>
            <w:r>
              <w:rPr>
                <w:i/>
                <w:w w:val="90"/>
                <w:highlight w:val="green"/>
              </w:rPr>
              <w:t>γ</w:t>
            </w:r>
            <w:r>
              <w:rPr>
                <w:w w:val="80"/>
                <w:highlight w:val="green"/>
              </w:rPr>
              <w:t>（kN/m</w:t>
            </w:r>
            <w:r>
              <w:rPr>
                <w:w w:val="80"/>
                <w:highlight w:val="green"/>
                <w:vertAlign w:val="superscript"/>
              </w:rPr>
              <w:t>3</w:t>
            </w:r>
            <w:r>
              <w:rPr>
                <w:w w:val="80"/>
                <w:highlight w:val="green"/>
              </w:rPr>
              <w:t>）</w:t>
            </w:r>
          </w:p>
        </w:tc>
        <w:tc>
          <w:tcPr>
            <w:tcW w:w="1351" w:type="dxa"/>
            <w:noWrap w:val="0"/>
            <w:vAlign w:val="center"/>
          </w:tcPr>
          <w:p w14:paraId="585A6E97">
            <w:pPr>
              <w:spacing w:line="240" w:lineRule="auto"/>
              <w:ind w:firstLine="0" w:firstLineChars="0"/>
              <w:jc w:val="center"/>
              <w:rPr>
                <w:highlight w:val="green"/>
              </w:rPr>
            </w:pPr>
            <w:r>
              <w:rPr>
                <w:highlight w:val="green"/>
              </w:rPr>
              <w:t>17.0*</w:t>
            </w:r>
          </w:p>
        </w:tc>
        <w:tc>
          <w:tcPr>
            <w:tcW w:w="2128" w:type="dxa"/>
            <w:noWrap w:val="0"/>
            <w:vAlign w:val="center"/>
          </w:tcPr>
          <w:p w14:paraId="5E0412A2">
            <w:pPr>
              <w:spacing w:line="240" w:lineRule="auto"/>
              <w:ind w:firstLine="0" w:firstLineChars="0"/>
              <w:jc w:val="center"/>
              <w:rPr>
                <w:highlight w:val="green"/>
              </w:rPr>
            </w:pPr>
            <w:r>
              <w:rPr>
                <w:highlight w:val="green"/>
              </w:rPr>
              <w:t>1</w:t>
            </w:r>
            <w:r>
              <w:rPr>
                <w:rFonts w:hint="eastAsia"/>
                <w:highlight w:val="green"/>
              </w:rPr>
              <w:t>7</w:t>
            </w:r>
            <w:r>
              <w:rPr>
                <w:highlight w:val="green"/>
              </w:rPr>
              <w:t>.5*</w:t>
            </w:r>
          </w:p>
        </w:tc>
        <w:tc>
          <w:tcPr>
            <w:tcW w:w="2128" w:type="dxa"/>
            <w:noWrap w:val="0"/>
            <w:vAlign w:val="center"/>
          </w:tcPr>
          <w:p w14:paraId="0A181C0A">
            <w:pPr>
              <w:spacing w:line="240" w:lineRule="auto"/>
              <w:ind w:firstLine="0" w:firstLineChars="0"/>
              <w:jc w:val="center"/>
              <w:rPr>
                <w:highlight w:val="green"/>
              </w:rPr>
            </w:pPr>
            <w:r>
              <w:rPr>
                <w:highlight w:val="green"/>
              </w:rPr>
              <w:t>1</w:t>
            </w:r>
            <w:r>
              <w:rPr>
                <w:rFonts w:hint="eastAsia"/>
                <w:highlight w:val="green"/>
              </w:rPr>
              <w:t>8</w:t>
            </w:r>
            <w:r>
              <w:rPr>
                <w:highlight w:val="green"/>
              </w:rPr>
              <w:t>.0*</w:t>
            </w:r>
          </w:p>
        </w:tc>
      </w:tr>
      <w:tr w14:paraId="1D8D4EEB">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8" w:type="dxa"/>
            <w:vMerge w:val="restart"/>
            <w:noWrap w:val="0"/>
            <w:vAlign w:val="center"/>
          </w:tcPr>
          <w:p w14:paraId="6AD1103D">
            <w:pPr>
              <w:spacing w:line="240" w:lineRule="auto"/>
              <w:ind w:firstLine="0" w:firstLineChars="0"/>
              <w:jc w:val="center"/>
              <w:rPr>
                <w:highlight w:val="green"/>
              </w:rPr>
            </w:pPr>
            <w:r>
              <w:rPr>
                <w:highlight w:val="green"/>
              </w:rPr>
              <w:t>直剪</w:t>
            </w:r>
          </w:p>
          <w:p w14:paraId="665F6D94">
            <w:pPr>
              <w:spacing w:line="240" w:lineRule="auto"/>
              <w:ind w:firstLine="0" w:firstLineChars="0"/>
              <w:jc w:val="center"/>
              <w:rPr>
                <w:highlight w:val="green"/>
              </w:rPr>
            </w:pPr>
            <w:r>
              <w:rPr>
                <w:highlight w:val="green"/>
              </w:rPr>
              <w:t>快剪</w:t>
            </w:r>
          </w:p>
        </w:tc>
        <w:tc>
          <w:tcPr>
            <w:tcW w:w="1863" w:type="dxa"/>
            <w:noWrap w:val="0"/>
            <w:vAlign w:val="center"/>
          </w:tcPr>
          <w:p w14:paraId="3A8FB6A3">
            <w:pPr>
              <w:tabs>
                <w:tab w:val="left" w:pos="1050"/>
              </w:tabs>
              <w:spacing w:line="240" w:lineRule="auto"/>
              <w:ind w:firstLine="0" w:firstLineChars="0"/>
              <w:jc w:val="center"/>
              <w:rPr>
                <w:i/>
                <w:w w:val="90"/>
                <w:highlight w:val="green"/>
              </w:rPr>
            </w:pPr>
            <w:r>
              <w:rPr>
                <w:i/>
                <w:w w:val="90"/>
                <w:highlight w:val="green"/>
              </w:rPr>
              <w:t>C</w:t>
            </w:r>
            <w:r>
              <w:rPr>
                <w:w w:val="90"/>
                <w:highlight w:val="green"/>
                <w:vertAlign w:val="subscript"/>
              </w:rPr>
              <w:t>k</w:t>
            </w:r>
            <w:r>
              <w:rPr>
                <w:w w:val="90"/>
                <w:highlight w:val="green"/>
              </w:rPr>
              <w:t>（kPa）</w:t>
            </w:r>
          </w:p>
        </w:tc>
        <w:tc>
          <w:tcPr>
            <w:tcW w:w="1351" w:type="dxa"/>
            <w:noWrap w:val="0"/>
            <w:vAlign w:val="center"/>
          </w:tcPr>
          <w:p w14:paraId="6266DBF9">
            <w:pPr>
              <w:spacing w:line="240" w:lineRule="auto"/>
              <w:ind w:firstLine="0" w:firstLineChars="0"/>
              <w:jc w:val="center"/>
              <w:rPr>
                <w:highlight w:val="green"/>
              </w:rPr>
            </w:pPr>
            <w:r>
              <w:rPr>
                <w:highlight w:val="green"/>
              </w:rPr>
              <w:t>8*</w:t>
            </w:r>
          </w:p>
        </w:tc>
        <w:tc>
          <w:tcPr>
            <w:tcW w:w="2128" w:type="dxa"/>
            <w:noWrap w:val="0"/>
            <w:vAlign w:val="center"/>
          </w:tcPr>
          <w:p w14:paraId="48349D1D">
            <w:pPr>
              <w:spacing w:line="240" w:lineRule="auto"/>
              <w:ind w:firstLine="0" w:firstLineChars="0"/>
              <w:jc w:val="center"/>
              <w:rPr>
                <w:highlight w:val="green"/>
              </w:rPr>
            </w:pPr>
            <w:r>
              <w:rPr>
                <w:highlight w:val="green"/>
              </w:rPr>
              <w:t>4.0*</w:t>
            </w:r>
          </w:p>
        </w:tc>
        <w:tc>
          <w:tcPr>
            <w:tcW w:w="2128" w:type="dxa"/>
            <w:noWrap w:val="0"/>
            <w:vAlign w:val="center"/>
          </w:tcPr>
          <w:p w14:paraId="339E4D5E">
            <w:pPr>
              <w:spacing w:line="240" w:lineRule="auto"/>
              <w:ind w:firstLine="0" w:firstLineChars="0"/>
              <w:jc w:val="center"/>
              <w:rPr>
                <w:highlight w:val="green"/>
              </w:rPr>
            </w:pPr>
            <w:r>
              <w:rPr>
                <w:highlight w:val="green"/>
              </w:rPr>
              <w:t>6.0*</w:t>
            </w:r>
          </w:p>
        </w:tc>
      </w:tr>
      <w:tr w14:paraId="5AD2A897">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8" w:type="dxa"/>
            <w:vMerge w:val="continue"/>
            <w:noWrap w:val="0"/>
            <w:vAlign w:val="center"/>
          </w:tcPr>
          <w:p w14:paraId="1B3102B7">
            <w:pPr>
              <w:spacing w:line="240" w:lineRule="auto"/>
              <w:ind w:firstLine="0" w:firstLineChars="0"/>
              <w:jc w:val="center"/>
              <w:rPr>
                <w:highlight w:val="green"/>
              </w:rPr>
            </w:pPr>
          </w:p>
        </w:tc>
        <w:tc>
          <w:tcPr>
            <w:tcW w:w="1863" w:type="dxa"/>
            <w:noWrap w:val="0"/>
            <w:vAlign w:val="center"/>
          </w:tcPr>
          <w:p w14:paraId="4CE3D083">
            <w:pPr>
              <w:tabs>
                <w:tab w:val="left" w:pos="1050"/>
              </w:tabs>
              <w:spacing w:line="240" w:lineRule="auto"/>
              <w:ind w:firstLine="0" w:firstLineChars="0"/>
              <w:jc w:val="center"/>
              <w:rPr>
                <w:i/>
                <w:w w:val="90"/>
                <w:highlight w:val="green"/>
              </w:rPr>
            </w:pPr>
            <w:r>
              <w:rPr>
                <w:i/>
                <w:w w:val="90"/>
                <w:highlight w:val="green"/>
              </w:rPr>
              <w:t>Φ</w:t>
            </w:r>
            <w:r>
              <w:rPr>
                <w:w w:val="90"/>
                <w:highlight w:val="green"/>
                <w:vertAlign w:val="subscript"/>
              </w:rPr>
              <w:t>k</w:t>
            </w:r>
            <w:r>
              <w:rPr>
                <w:w w:val="90"/>
                <w:highlight w:val="green"/>
              </w:rPr>
              <w:t>(°)</w:t>
            </w:r>
          </w:p>
        </w:tc>
        <w:tc>
          <w:tcPr>
            <w:tcW w:w="1351" w:type="dxa"/>
            <w:noWrap w:val="0"/>
            <w:vAlign w:val="center"/>
          </w:tcPr>
          <w:p w14:paraId="390AC041">
            <w:pPr>
              <w:spacing w:line="240" w:lineRule="auto"/>
              <w:ind w:firstLine="0" w:firstLineChars="0"/>
              <w:jc w:val="center"/>
              <w:rPr>
                <w:highlight w:val="green"/>
              </w:rPr>
            </w:pPr>
            <w:r>
              <w:rPr>
                <w:highlight w:val="green"/>
              </w:rPr>
              <w:t>12*</w:t>
            </w:r>
          </w:p>
        </w:tc>
        <w:tc>
          <w:tcPr>
            <w:tcW w:w="2128" w:type="dxa"/>
            <w:noWrap w:val="0"/>
            <w:vAlign w:val="center"/>
          </w:tcPr>
          <w:p w14:paraId="7D04927E">
            <w:pPr>
              <w:spacing w:line="240" w:lineRule="auto"/>
              <w:ind w:firstLine="0" w:firstLineChars="0"/>
              <w:jc w:val="center"/>
              <w:rPr>
                <w:highlight w:val="green"/>
              </w:rPr>
            </w:pPr>
            <w:r>
              <w:rPr>
                <w:highlight w:val="green"/>
              </w:rPr>
              <w:t>20.0*</w:t>
            </w:r>
          </w:p>
        </w:tc>
        <w:tc>
          <w:tcPr>
            <w:tcW w:w="2128" w:type="dxa"/>
            <w:noWrap w:val="0"/>
            <w:vAlign w:val="center"/>
          </w:tcPr>
          <w:p w14:paraId="21C469AA">
            <w:pPr>
              <w:spacing w:line="240" w:lineRule="auto"/>
              <w:ind w:firstLine="0" w:firstLineChars="0"/>
              <w:jc w:val="center"/>
              <w:rPr>
                <w:highlight w:val="green"/>
              </w:rPr>
            </w:pPr>
            <w:r>
              <w:rPr>
                <w:highlight w:val="green"/>
              </w:rPr>
              <w:t>25.0*</w:t>
            </w:r>
          </w:p>
        </w:tc>
      </w:tr>
      <w:tr w14:paraId="4A14A6DE">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8" w:type="dxa"/>
            <w:vMerge w:val="restart"/>
            <w:noWrap w:val="0"/>
            <w:vAlign w:val="center"/>
          </w:tcPr>
          <w:p w14:paraId="28FE7C9F">
            <w:pPr>
              <w:spacing w:line="240" w:lineRule="auto"/>
              <w:ind w:firstLine="0" w:firstLineChars="0"/>
              <w:jc w:val="center"/>
              <w:rPr>
                <w:highlight w:val="green"/>
              </w:rPr>
            </w:pPr>
            <w:r>
              <w:rPr>
                <w:highlight w:val="green"/>
              </w:rPr>
              <w:t>天然</w:t>
            </w:r>
          </w:p>
          <w:p w14:paraId="3C835C7F">
            <w:pPr>
              <w:spacing w:line="240" w:lineRule="auto"/>
              <w:ind w:firstLine="0" w:firstLineChars="0"/>
              <w:jc w:val="center"/>
              <w:rPr>
                <w:highlight w:val="green"/>
              </w:rPr>
            </w:pPr>
            <w:r>
              <w:rPr>
                <w:highlight w:val="green"/>
              </w:rPr>
              <w:t>休止角</w:t>
            </w:r>
          </w:p>
        </w:tc>
        <w:tc>
          <w:tcPr>
            <w:tcW w:w="1863" w:type="dxa"/>
            <w:noWrap w:val="0"/>
            <w:vAlign w:val="center"/>
          </w:tcPr>
          <w:p w14:paraId="6A06E93D">
            <w:pPr>
              <w:tabs>
                <w:tab w:val="left" w:pos="1050"/>
              </w:tabs>
              <w:spacing w:line="240" w:lineRule="auto"/>
              <w:ind w:firstLine="0" w:firstLineChars="0"/>
              <w:jc w:val="center"/>
              <w:rPr>
                <w:highlight w:val="green"/>
              </w:rPr>
            </w:pPr>
            <w:r>
              <w:rPr>
                <w:highlight w:val="green"/>
              </w:rPr>
              <w:t>水上α</w:t>
            </w:r>
            <w:r>
              <w:rPr>
                <w:w w:val="90"/>
                <w:highlight w:val="green"/>
              </w:rPr>
              <w:t>(°)</w:t>
            </w:r>
          </w:p>
        </w:tc>
        <w:tc>
          <w:tcPr>
            <w:tcW w:w="1351" w:type="dxa"/>
            <w:noWrap w:val="0"/>
            <w:vAlign w:val="center"/>
          </w:tcPr>
          <w:p w14:paraId="2437693E">
            <w:pPr>
              <w:spacing w:line="240" w:lineRule="auto"/>
              <w:ind w:firstLine="0" w:firstLineChars="0"/>
              <w:jc w:val="center"/>
              <w:rPr>
                <w:highlight w:val="green"/>
              </w:rPr>
            </w:pPr>
            <w:r>
              <w:rPr>
                <w:highlight w:val="green"/>
              </w:rPr>
              <w:t>/</w:t>
            </w:r>
          </w:p>
        </w:tc>
        <w:tc>
          <w:tcPr>
            <w:tcW w:w="2128" w:type="dxa"/>
            <w:noWrap w:val="0"/>
            <w:vAlign w:val="center"/>
          </w:tcPr>
          <w:p w14:paraId="134EDD15">
            <w:pPr>
              <w:spacing w:line="240" w:lineRule="auto"/>
              <w:ind w:firstLine="0" w:firstLineChars="0"/>
              <w:jc w:val="center"/>
              <w:rPr>
                <w:highlight w:val="green"/>
              </w:rPr>
            </w:pPr>
            <w:r>
              <w:rPr>
                <w:rFonts w:hint="eastAsia"/>
                <w:highlight w:val="green"/>
              </w:rPr>
              <w:t>26.50</w:t>
            </w:r>
          </w:p>
        </w:tc>
        <w:tc>
          <w:tcPr>
            <w:tcW w:w="2128" w:type="dxa"/>
            <w:noWrap w:val="0"/>
            <w:vAlign w:val="center"/>
          </w:tcPr>
          <w:p w14:paraId="3530E90E">
            <w:pPr>
              <w:spacing w:line="240" w:lineRule="auto"/>
              <w:ind w:firstLine="0" w:firstLineChars="0"/>
              <w:jc w:val="center"/>
              <w:rPr>
                <w:highlight w:val="green"/>
              </w:rPr>
            </w:pPr>
            <w:r>
              <w:rPr>
                <w:highlight w:val="green"/>
              </w:rPr>
              <w:t>/</w:t>
            </w:r>
          </w:p>
        </w:tc>
      </w:tr>
      <w:tr w14:paraId="7FB456C7">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648" w:type="dxa"/>
            <w:vMerge w:val="continue"/>
            <w:noWrap w:val="0"/>
            <w:vAlign w:val="center"/>
          </w:tcPr>
          <w:p w14:paraId="1EF408CE">
            <w:pPr>
              <w:spacing w:line="240" w:lineRule="auto"/>
              <w:ind w:firstLine="0" w:firstLineChars="0"/>
              <w:jc w:val="center"/>
              <w:rPr>
                <w:highlight w:val="green"/>
              </w:rPr>
            </w:pPr>
          </w:p>
        </w:tc>
        <w:tc>
          <w:tcPr>
            <w:tcW w:w="1863" w:type="dxa"/>
            <w:noWrap w:val="0"/>
            <w:vAlign w:val="center"/>
          </w:tcPr>
          <w:p w14:paraId="03D924D6">
            <w:pPr>
              <w:tabs>
                <w:tab w:val="left" w:pos="1050"/>
              </w:tabs>
              <w:spacing w:line="240" w:lineRule="auto"/>
              <w:ind w:firstLine="0" w:firstLineChars="0"/>
              <w:jc w:val="center"/>
              <w:rPr>
                <w:i/>
                <w:w w:val="90"/>
                <w:highlight w:val="green"/>
              </w:rPr>
            </w:pPr>
            <w:r>
              <w:rPr>
                <w:highlight w:val="green"/>
              </w:rPr>
              <w:t>水下α’</w:t>
            </w:r>
            <w:r>
              <w:rPr>
                <w:w w:val="90"/>
                <w:highlight w:val="green"/>
              </w:rPr>
              <w:t>(°)</w:t>
            </w:r>
          </w:p>
        </w:tc>
        <w:tc>
          <w:tcPr>
            <w:tcW w:w="1351" w:type="dxa"/>
            <w:noWrap w:val="0"/>
            <w:vAlign w:val="center"/>
          </w:tcPr>
          <w:p w14:paraId="3E24BCAB">
            <w:pPr>
              <w:spacing w:line="240" w:lineRule="auto"/>
              <w:ind w:firstLine="0" w:firstLineChars="0"/>
              <w:jc w:val="center"/>
              <w:rPr>
                <w:highlight w:val="green"/>
              </w:rPr>
            </w:pPr>
            <w:r>
              <w:rPr>
                <w:highlight w:val="green"/>
              </w:rPr>
              <w:t>/</w:t>
            </w:r>
          </w:p>
        </w:tc>
        <w:tc>
          <w:tcPr>
            <w:tcW w:w="2128" w:type="dxa"/>
            <w:noWrap w:val="0"/>
            <w:vAlign w:val="center"/>
          </w:tcPr>
          <w:p w14:paraId="0031AEC4">
            <w:pPr>
              <w:spacing w:line="240" w:lineRule="auto"/>
              <w:ind w:firstLine="0" w:firstLineChars="0"/>
              <w:jc w:val="center"/>
              <w:rPr>
                <w:highlight w:val="green"/>
              </w:rPr>
            </w:pPr>
            <w:r>
              <w:rPr>
                <w:rFonts w:hint="eastAsia"/>
                <w:highlight w:val="green"/>
              </w:rPr>
              <w:t>25.83</w:t>
            </w:r>
          </w:p>
        </w:tc>
        <w:tc>
          <w:tcPr>
            <w:tcW w:w="2128" w:type="dxa"/>
            <w:noWrap w:val="0"/>
            <w:vAlign w:val="center"/>
          </w:tcPr>
          <w:p w14:paraId="64D56F05">
            <w:pPr>
              <w:spacing w:line="240" w:lineRule="auto"/>
              <w:ind w:firstLine="0" w:firstLineChars="0"/>
              <w:jc w:val="center"/>
              <w:rPr>
                <w:highlight w:val="green"/>
              </w:rPr>
            </w:pPr>
            <w:r>
              <w:rPr>
                <w:highlight w:val="green"/>
              </w:rPr>
              <w:t>/</w:t>
            </w:r>
          </w:p>
        </w:tc>
      </w:tr>
      <w:tr w14:paraId="4A1346BC">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8" w:type="dxa"/>
            <w:noWrap w:val="0"/>
            <w:vAlign w:val="center"/>
          </w:tcPr>
          <w:p w14:paraId="2CCCA5E5">
            <w:pPr>
              <w:spacing w:line="240" w:lineRule="auto"/>
              <w:ind w:firstLine="0" w:firstLineChars="0"/>
              <w:jc w:val="center"/>
              <w:rPr>
                <w:highlight w:val="green"/>
              </w:rPr>
            </w:pPr>
            <w:r>
              <w:rPr>
                <w:highlight w:val="green"/>
              </w:rPr>
              <w:t>渗透系数</w:t>
            </w:r>
          </w:p>
        </w:tc>
        <w:tc>
          <w:tcPr>
            <w:tcW w:w="1863" w:type="dxa"/>
            <w:noWrap w:val="0"/>
            <w:vAlign w:val="center"/>
          </w:tcPr>
          <w:p w14:paraId="797F1313">
            <w:pPr>
              <w:spacing w:line="240" w:lineRule="auto"/>
              <w:ind w:firstLine="0" w:firstLineChars="0"/>
              <w:jc w:val="center"/>
              <w:rPr>
                <w:w w:val="90"/>
                <w:highlight w:val="green"/>
              </w:rPr>
            </w:pPr>
            <w:r>
              <w:rPr>
                <w:i/>
                <w:w w:val="90"/>
                <w:highlight w:val="green"/>
              </w:rPr>
              <w:t>K</w:t>
            </w:r>
            <w:r>
              <w:rPr>
                <w:w w:val="90"/>
                <w:highlight w:val="green"/>
              </w:rPr>
              <w:t>（cm/s）</w:t>
            </w:r>
          </w:p>
        </w:tc>
        <w:tc>
          <w:tcPr>
            <w:tcW w:w="1351" w:type="dxa"/>
            <w:noWrap w:val="0"/>
            <w:vAlign w:val="center"/>
          </w:tcPr>
          <w:p w14:paraId="6EA63C48">
            <w:pPr>
              <w:spacing w:line="240" w:lineRule="auto"/>
              <w:ind w:firstLine="0" w:firstLineChars="0"/>
              <w:jc w:val="center"/>
              <w:rPr>
                <w:highlight w:val="green"/>
              </w:rPr>
            </w:pPr>
            <w:r>
              <w:rPr>
                <w:highlight w:val="green"/>
              </w:rPr>
              <w:t>/</w:t>
            </w:r>
          </w:p>
        </w:tc>
        <w:tc>
          <w:tcPr>
            <w:tcW w:w="2128" w:type="dxa"/>
            <w:noWrap w:val="0"/>
            <w:vAlign w:val="center"/>
          </w:tcPr>
          <w:p w14:paraId="30B5BA9D">
            <w:pPr>
              <w:spacing w:line="240" w:lineRule="auto"/>
              <w:ind w:firstLine="0" w:firstLineChars="0"/>
              <w:jc w:val="center"/>
              <w:rPr>
                <w:highlight w:val="green"/>
              </w:rPr>
            </w:pPr>
            <w:r>
              <w:rPr>
                <w:highlight w:val="green"/>
              </w:rPr>
              <w:t>6.27×10</w:t>
            </w:r>
            <w:r>
              <w:rPr>
                <w:highlight w:val="green"/>
                <w:vertAlign w:val="superscript"/>
              </w:rPr>
              <w:t>-3</w:t>
            </w:r>
          </w:p>
        </w:tc>
        <w:tc>
          <w:tcPr>
            <w:tcW w:w="2128" w:type="dxa"/>
            <w:noWrap w:val="0"/>
            <w:vAlign w:val="center"/>
          </w:tcPr>
          <w:p w14:paraId="5509809F">
            <w:pPr>
              <w:spacing w:line="240" w:lineRule="auto"/>
              <w:ind w:firstLine="0" w:firstLineChars="0"/>
              <w:jc w:val="center"/>
              <w:rPr>
                <w:highlight w:val="green"/>
              </w:rPr>
            </w:pPr>
            <w:r>
              <w:rPr>
                <w:highlight w:val="green"/>
              </w:rPr>
              <w:t>/</w:t>
            </w:r>
          </w:p>
        </w:tc>
      </w:tr>
    </w:tbl>
    <w:p w14:paraId="2B98CFCC">
      <w:pPr>
        <w:pStyle w:val="3"/>
        <w:pageBreakBefore w:val="0"/>
        <w:kinsoku/>
        <w:overflowPunct/>
        <w:bidi w:val="0"/>
        <w:spacing w:before="0" w:beforeLines="0" w:beforeAutospacing="0" w:after="0" w:afterLines="0" w:afterAutospacing="0" w:line="360" w:lineRule="auto"/>
        <w:ind w:left="0" w:leftChars="0" w:right="0" w:rightChars="0" w:firstLine="512" w:firstLineChars="200"/>
        <w:rPr>
          <w:rFonts w:hint="default" w:ascii="宋体" w:hAnsi="宋体" w:eastAsiaTheme="minorEastAsia" w:cstheme="minorBidi"/>
          <w:b w:val="0"/>
          <w:spacing w:val="8"/>
          <w:kern w:val="2"/>
          <w:sz w:val="24"/>
          <w:szCs w:val="22"/>
          <w:highlight w:val="green"/>
          <w:lang w:val="en-US" w:eastAsia="zh-CN" w:bidi="ar-SA"/>
        </w:rPr>
      </w:pPr>
      <w:r>
        <w:rPr>
          <w:rFonts w:hint="eastAsia" w:ascii="宋体" w:hAnsi="宋体" w:eastAsiaTheme="minorEastAsia" w:cstheme="minorBidi"/>
          <w:b w:val="0"/>
          <w:spacing w:val="8"/>
          <w:kern w:val="2"/>
          <w:sz w:val="24"/>
          <w:szCs w:val="22"/>
          <w:highlight w:val="green"/>
          <w:lang w:val="en-US" w:eastAsia="zh-CN" w:bidi="ar-SA"/>
        </w:rPr>
        <w:t>根据电力通信埋深，电力通信位于②层，细砂，地基承载力满足要求。</w:t>
      </w:r>
    </w:p>
    <w:p w14:paraId="3BE7E4C0">
      <w:pPr>
        <w:pStyle w:val="3"/>
        <w:pageBreakBefore w:val="0"/>
        <w:kinsoku/>
        <w:overflowPunct/>
        <w:bidi w:val="0"/>
        <w:spacing w:before="0" w:beforeLines="0" w:beforeAutospacing="0" w:after="0" w:afterLines="0" w:afterAutospacing="0" w:line="360" w:lineRule="auto"/>
        <w:ind w:left="0" w:leftChars="0" w:right="0" w:rightChars="0"/>
        <w:rPr>
          <w:rFonts w:hint="default" w:ascii="Arial" w:hAnsi="Arial" w:eastAsia="宋体"/>
          <w:szCs w:val="22"/>
          <w:highlight w:val="green"/>
          <w:lang w:val="en-US" w:eastAsia="zh-CN"/>
        </w:rPr>
      </w:pPr>
      <w:r>
        <w:rPr>
          <w:rFonts w:hint="eastAsia" w:ascii="Arial" w:hAnsi="Arial" w:eastAsia="宋体"/>
          <w:szCs w:val="22"/>
          <w:highlight w:val="green"/>
          <w:lang w:val="en-US" w:eastAsia="zh-CN"/>
        </w:rPr>
        <w:t>6.2水文地质条件</w:t>
      </w:r>
    </w:p>
    <w:p w14:paraId="07318513">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在勘探深度范围内，场地地下水主要赋存于②~③层土中，属孔隙潜水，①层素填土、②层细砂及③层细砂均为强透水层，其补给来源主要是大气降水入渗及地下径流，排泄途径主要是人工开采、地表蒸发和侧向迳流。</w:t>
      </w:r>
    </w:p>
    <w:p w14:paraId="5A87BB15">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地下水受季节性影响较大，本次勘察期间测得水位埋深为2.20~2.60m（标高为0.54~2.40m），根据区域地质资料，其年变化幅度约1.50m。</w:t>
      </w:r>
    </w:p>
    <w:p w14:paraId="21314A72">
      <w:pPr>
        <w:pStyle w:val="2"/>
        <w:pageBreakBefore w:val="0"/>
        <w:kinsoku/>
        <w:overflowPunct/>
        <w:bidi w:val="0"/>
        <w:spacing w:before="0" w:beforeLines="0" w:beforeAutospacing="0" w:after="0" w:afterLines="0" w:afterAutospacing="0" w:line="360" w:lineRule="auto"/>
        <w:ind w:left="0" w:leftChars="0" w:right="0" w:rightChars="0"/>
        <w:rPr>
          <w:rFonts w:hint="eastAsia" w:hAnsi="宋体" w:eastAsia="宋体"/>
          <w:highlight w:val="green"/>
          <w:lang w:val="en-US" w:eastAsia="zh-CN"/>
        </w:rPr>
      </w:pPr>
      <w:r>
        <w:rPr>
          <w:rFonts w:hint="eastAsia" w:hAnsi="宋体" w:eastAsia="宋体"/>
          <w:highlight w:val="green"/>
          <w:lang w:val="en-US" w:eastAsia="zh-CN"/>
        </w:rPr>
        <w:t>7、施工期间临时排水方案</w:t>
      </w:r>
    </w:p>
    <w:p w14:paraId="5A994218">
      <w:pPr>
        <w:tabs>
          <w:tab w:val="left" w:pos="180"/>
        </w:tabs>
        <w:spacing w:line="360" w:lineRule="auto"/>
        <w:ind w:firstLine="512" w:firstLineChars="200"/>
        <w:rPr>
          <w:rFonts w:hint="default"/>
          <w:highlight w:val="none"/>
          <w:lang w:val="en-US" w:eastAsia="zh-CN"/>
        </w:rPr>
      </w:pPr>
      <w:r>
        <w:rPr>
          <w:rFonts w:hint="eastAsia" w:ascii="宋体" w:hAnsi="宋体"/>
          <w:spacing w:val="8"/>
          <w:sz w:val="24"/>
          <w:highlight w:val="green"/>
          <w:lang w:val="en-US" w:eastAsia="zh-CN"/>
        </w:rPr>
        <w:t>施工时，地下水位较高时，可在基坑中做一个集水井及时将地下水位降到设计标高水位以下,并做护壁处理；或采用临时泵抽排。</w:t>
      </w:r>
    </w:p>
    <w:p w14:paraId="233F41D6">
      <w:pPr>
        <w:pStyle w:val="2"/>
        <w:pageBreakBefore w:val="0"/>
        <w:kinsoku/>
        <w:overflowPunct/>
        <w:bidi w:val="0"/>
        <w:spacing w:before="0" w:beforeLines="0" w:beforeAutospacing="0" w:after="0" w:afterLines="0" w:afterAutospacing="0" w:line="360" w:lineRule="auto"/>
        <w:ind w:left="0" w:leftChars="0" w:right="0" w:rightChars="0"/>
        <w:rPr>
          <w:rFonts w:hint="eastAsia" w:hAnsi="宋体" w:eastAsia="宋体"/>
          <w:highlight w:val="green"/>
          <w:lang w:val="en-US" w:eastAsia="zh-CN"/>
        </w:rPr>
      </w:pPr>
      <w:r>
        <w:rPr>
          <w:rFonts w:hint="eastAsia" w:hAnsi="宋体" w:eastAsia="宋体"/>
          <w:highlight w:val="green"/>
          <w:lang w:val="en-US" w:eastAsia="zh-CN"/>
        </w:rPr>
        <w:t>8、抗震设计及其他荷载要求</w:t>
      </w:r>
    </w:p>
    <w:p w14:paraId="3041E80E">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根据《电力设施抗震设计规范》GB 50260-2013和《建筑机电工程抗震设计规范》GB 50981-2014</w:t>
      </w:r>
    </w:p>
    <w:p w14:paraId="6BD7C8F8">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（1）电缆场地地震基本烈度为8度考虑，抗震等级框架为三级。</w:t>
      </w:r>
    </w:p>
    <w:p w14:paraId="66A40682">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（2）本建筑物耐火等级为二级。</w:t>
      </w:r>
    </w:p>
    <w:p w14:paraId="68B9D564">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（3）结构、构件主筋保护层最小厚度：板结构为25mm厚，梁结构为25mm厚。</w:t>
      </w:r>
    </w:p>
    <w:p w14:paraId="56DE8FBC">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 xml:space="preserve">（4）混凝土及钢筋混凝土的材料强度分别采用:敞开式行人井、行人电缆沟预制底板为C30钢筋混凝土，圈梁为C25钢筋混凝土；封闭井主体结构为C25钢筋混凝土。钢筋采用HPB300级、HRB400级。  </w:t>
      </w:r>
    </w:p>
    <w:p w14:paraId="242C6BD1">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（5）本标准设计砖砌体采用MU15砖，M10水泥砂浆。</w:t>
      </w:r>
    </w:p>
    <w:p w14:paraId="3D82D93A">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（6）支架安装要求</w:t>
      </w:r>
    </w:p>
    <w:p w14:paraId="7121AFEB">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1)在建筑钢结构的构件上不得熔焊支架，且不得热加工开孔，避免破坏结构强度。如果需要在承力建筑钢结构上设置支架，需与设计沟通，在承力建筑钢结构上设置预留支架或预留孔。</w:t>
      </w:r>
    </w:p>
    <w:p w14:paraId="4C798EC0">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2)水平安装的支架间距宜为1.5~3.0m，垂直安装的支架间距不应大于 2m。</w:t>
      </w:r>
    </w:p>
    <w:p w14:paraId="33CDB0CF">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3)采用金属吊架固定时，圆钢直径不得小于8mm，并应有防晃支架，在分支处或端部 0.3~0.5m 处应有固定支架。</w:t>
      </w:r>
    </w:p>
    <w:p w14:paraId="695E3D9F">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4)重力不小于150N/m 的梯架、托盘和槽盒应进行抗震设防，设置抗震支架。抗震支架最大间距见《建筑机电工程抗震设计规范》GB 50981-2014表 3.2-5。</w:t>
      </w:r>
    </w:p>
    <w:p w14:paraId="630166DA">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（7）缆线穿管敷设时宜采用弹性和延性较好的管材。</w:t>
      </w:r>
    </w:p>
    <w:p w14:paraId="34F347B4">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（8）引入建筑物的电气管路敷设时应符合下列规定：</w:t>
      </w:r>
    </w:p>
    <w:p w14:paraId="7953CB11">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1） 在进口处应采用挠性线管或采取其他抗震措施；</w:t>
      </w:r>
    </w:p>
    <w:p w14:paraId="71672E9A">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2） 当进户井贴邻建筑物设置时，缆线应在井中留有余量；</w:t>
      </w:r>
    </w:p>
    <w:p w14:paraId="167371D1">
      <w:pPr>
        <w:tabs>
          <w:tab w:val="left" w:pos="180"/>
        </w:tabs>
        <w:spacing w:line="360" w:lineRule="auto"/>
        <w:ind w:firstLine="512" w:firstLineChars="200"/>
        <w:rPr>
          <w:rFonts w:hint="eastAsia" w:ascii="宋体" w:hAnsi="宋体"/>
          <w:spacing w:val="8"/>
          <w:sz w:val="24"/>
          <w:highlight w:val="green"/>
          <w:lang w:val="en-US" w:eastAsia="zh-CN"/>
        </w:rPr>
      </w:pPr>
      <w:r>
        <w:rPr>
          <w:rFonts w:hint="eastAsia" w:ascii="宋体" w:hAnsi="宋体"/>
          <w:spacing w:val="8"/>
          <w:sz w:val="24"/>
          <w:highlight w:val="green"/>
          <w:lang w:val="en-US" w:eastAsia="zh-CN"/>
        </w:rPr>
        <w:t>3） 进户套管与引入管之间的间隙应采用柔性防腐、防水材料密封。</w:t>
      </w:r>
    </w:p>
    <w:p w14:paraId="44C9FF88">
      <w:pPr>
        <w:pStyle w:val="2"/>
        <w:pageBreakBefore w:val="0"/>
        <w:kinsoku/>
        <w:overflowPunct/>
        <w:bidi w:val="0"/>
        <w:spacing w:before="0" w:beforeLines="0" w:beforeAutospacing="0" w:after="0" w:afterLines="0" w:afterAutospacing="0" w:line="360" w:lineRule="auto"/>
        <w:ind w:left="0" w:leftChars="0" w:right="0" w:rightChars="0"/>
        <w:rPr>
          <w:rFonts w:hint="eastAsia" w:ascii="宋体" w:hAnsi="宋体" w:eastAsia="宋体"/>
          <w:highlight w:val="none"/>
          <w:lang w:val="en-US" w:eastAsia="zh-CN"/>
        </w:rPr>
      </w:pPr>
      <w:r>
        <w:rPr>
          <w:rFonts w:hint="eastAsia"/>
          <w:highlight w:val="none"/>
          <w:lang w:val="en-US" w:eastAsia="zh-CN"/>
        </w:rPr>
        <w:t>9</w:t>
      </w:r>
      <w:r>
        <w:rPr>
          <w:rFonts w:hint="eastAsia" w:ascii="宋体" w:hAnsi="宋体" w:eastAsia="宋体"/>
          <w:highlight w:val="none"/>
          <w:lang w:val="en-US" w:eastAsia="zh-CN"/>
        </w:rPr>
        <w:t>、</w:t>
      </w:r>
      <w:r>
        <w:rPr>
          <w:rFonts w:hint="eastAsia" w:ascii="Times New Roman" w:hAnsi="Times New Roman"/>
          <w:szCs w:val="22"/>
          <w:highlight w:val="none"/>
          <w:lang w:val="en-US" w:eastAsia="zh-CN"/>
        </w:rPr>
        <w:t>施工注意事项</w:t>
      </w:r>
    </w:p>
    <w:p w14:paraId="50E406C8">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（1）浇注灯杆混凝土基础前，必须将坑内的积水排除。路灯基础施工和照明电力电缆敷设时，如遇给水、雨水、污水、电力、电信、煤气横穿支管时，则路灯基础位置可适当调整，以避开上述各支管。</w:t>
      </w:r>
    </w:p>
    <w:p w14:paraId="5373FD2F">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（2）施工过程中，如发现设计电力管道及通信管道与其它管道位置冲突或与设计图纸不符时，请及时通知设计人员。</w:t>
      </w:r>
    </w:p>
    <w:p w14:paraId="0DBCCF1D">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（3）所有电气设备应选用国家现行的技术先进的产品，不得采用国家明令淘汰的产品。</w:t>
      </w:r>
    </w:p>
    <w:p w14:paraId="76572177">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（4）本工程所有金属构件均须热镀锌。</w:t>
      </w:r>
    </w:p>
    <w:p w14:paraId="27B937B7">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（5）图中所示设备、材料型号仅代表技术标准，并非指定产品。</w:t>
      </w:r>
    </w:p>
    <w:p w14:paraId="5C55D302">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sz w:val="24"/>
          <w:szCs w:val="24"/>
          <w:highlight w:val="none"/>
          <w:lang w:val="en-US" w:eastAsia="zh-CN"/>
        </w:rPr>
      </w:pPr>
      <w:r>
        <w:rPr>
          <w:rFonts w:hint="eastAsia"/>
          <w:sz w:val="24"/>
          <w:szCs w:val="24"/>
          <w:highlight w:val="none"/>
          <w:lang w:val="en-US" w:eastAsia="zh-CN"/>
        </w:rPr>
        <w:t>（6）其他未尽事宜均按照相应国家现行标准和规范执行。</w:t>
      </w:r>
    </w:p>
    <w:p w14:paraId="36769410">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highlight w:val="none"/>
        </w:rPr>
      </w:pPr>
      <w:r>
        <w:rPr>
          <w:rFonts w:hint="eastAsia"/>
          <w:sz w:val="24"/>
          <w:szCs w:val="24"/>
          <w:highlight w:val="none"/>
          <w:lang w:val="en-US" w:eastAsia="zh-CN"/>
        </w:rPr>
        <w:t>（7）本工程在施工中如遇台风、暴雨等极端灾害性天气应停止施工，并做好施工期间构、建筑物的保护措施，以免造成安全生产事故，且需做好抗风、排水工作，保护好施工现场及成果。</w:t>
      </w:r>
    </w:p>
    <w:sectPr>
      <w:headerReference r:id="rId3" w:type="default"/>
      <w:footerReference r:id="rId4" w:type="default"/>
      <w:pgSz w:w="23811" w:h="16838" w:orient="landscape"/>
      <w:pgMar w:top="567" w:right="1797" w:bottom="1440" w:left="1797" w:header="851" w:footer="992" w:gutter="0"/>
      <w:pgBorders>
        <w:top w:val="none" w:sz="0" w:space="0"/>
        <w:left w:val="none" w:sz="0" w:space="0"/>
        <w:bottom w:val="none" w:sz="0" w:space="0"/>
        <w:right w:val="none" w:sz="0" w:space="0"/>
      </w:pgBorders>
      <w:pgNumType w:fmt="decimal" w:chapStyle="1"/>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0CC39">
    <w:pPr>
      <w:pStyle w:val="9"/>
      <w:ind w:left="0" w:leftChars="0" w:firstLine="0" w:firstLineChars="0"/>
      <w:jc w:val="center"/>
      <w:rPr>
        <w:rFonts w:hint="eastAsia" w:eastAsia="宋体"/>
        <w:lang w:eastAsia="zh-CN"/>
      </w:rPr>
    </w:pPr>
    <w:r>
      <w:rPr>
        <w:sz w:val="21"/>
      </w:rPr>
      <w:pict>
        <v:line id="直线 1029" o:spid="_x0000_s2049" o:spt="20" style="position:absolute;left:0pt;margin-left:1.6pt;margin-top:-2.1pt;height:0.05pt;width:1048.15pt;z-index:251659264;mso-width-relative:page;mso-height-relative:page;" filled="f" stroked="t" coordsize="21600,21600">
          <v:path arrowok="t"/>
          <v:fill on="f" focussize="0,0"/>
          <v:stroke weight="0.25pt"/>
          <v:imagedata o:title=""/>
          <o:lock v:ext="edit" aspectratio="f"/>
        </v:line>
      </w:pic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p w14:paraId="5F4DE157">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9D5FD">
    <w:pPr>
      <w:pStyle w:val="10"/>
      <w:ind w:firstLine="0"/>
      <w:jc w:val="left"/>
      <w:rPr>
        <w:rFonts w:hint="default"/>
        <w:lang w:val="en-US"/>
      </w:rPr>
    </w:pPr>
    <w:r>
      <w:rPr>
        <w:rFonts w:hint="eastAsia" w:hAnsi="宋体" w:cs="宋体"/>
        <w:b/>
        <w:bCs/>
        <w:sz w:val="24"/>
        <w:szCs w:val="24"/>
        <w:lang w:eastAsia="zh-CN"/>
      </w:rPr>
      <w:t>海南省文昌市正商红椰湾四、五期项目间市政规划路项目</w:t>
    </w:r>
    <w:r>
      <w:rPr>
        <w:rFonts w:hint="eastAsia" w:hAnsi="宋体" w:cs="宋体"/>
        <w:b/>
        <w:bCs/>
        <w:sz w:val="24"/>
        <w:szCs w:val="24"/>
        <w:lang w:val="en-US" w:eastAsia="zh-CN"/>
      </w:rPr>
      <w:t xml:space="preserve">                                                                  </w:t>
    </w:r>
    <w:r>
      <w:rPr>
        <w:rFonts w:hint="eastAsia" w:ascii="仿宋_GB2312" w:eastAsia="仿宋_GB2312"/>
        <w:sz w:val="21"/>
      </w:rPr>
      <w:t xml:space="preserve">    </w:t>
    </w:r>
    <w:r>
      <w:rPr>
        <w:rFonts w:hint="eastAsia" w:ascii="仿宋_GB2312" w:eastAsia="仿宋_GB2312"/>
        <w:sz w:val="21"/>
        <w:lang w:val="en-US" w:eastAsia="zh-CN"/>
      </w:rPr>
      <w:t xml:space="preserve">                                      </w:t>
    </w:r>
    <w:r>
      <w:rPr>
        <w:rFonts w:hint="eastAsia" w:hAnsi="宋体" w:eastAsia="仿宋_GB2312" w:cs="宋体"/>
        <w:b/>
        <w:bCs/>
        <w:sz w:val="21"/>
        <w:szCs w:val="21"/>
        <w:lang w:val="en-US" w:eastAsia="zh-CN"/>
      </w:rPr>
      <w:t xml:space="preserve">            DQ--01</w:t>
    </w:r>
  </w:p>
  <w:p w14:paraId="4BA755D8">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08296B"/>
    <w:multiLevelType w:val="singleLevel"/>
    <w:tmpl w:val="5708296B"/>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NmZDQ5ZTUxMWVmYzBlN2UzMWNiMWY3MjIyMDBkMzkifQ=="/>
  </w:docVars>
  <w:rsids>
    <w:rsidRoot w:val="00172A27"/>
    <w:rsid w:val="000E24E7"/>
    <w:rsid w:val="002756F4"/>
    <w:rsid w:val="00724552"/>
    <w:rsid w:val="007677D7"/>
    <w:rsid w:val="008865A7"/>
    <w:rsid w:val="00B46918"/>
    <w:rsid w:val="00B500B4"/>
    <w:rsid w:val="00C82269"/>
    <w:rsid w:val="00DA0570"/>
    <w:rsid w:val="00E33AEA"/>
    <w:rsid w:val="00F112FC"/>
    <w:rsid w:val="03231B33"/>
    <w:rsid w:val="0379743D"/>
    <w:rsid w:val="03962305"/>
    <w:rsid w:val="042306BA"/>
    <w:rsid w:val="043D4E77"/>
    <w:rsid w:val="04E85937"/>
    <w:rsid w:val="056C251A"/>
    <w:rsid w:val="05812B41"/>
    <w:rsid w:val="05B64EE1"/>
    <w:rsid w:val="06205206"/>
    <w:rsid w:val="06436049"/>
    <w:rsid w:val="077566D6"/>
    <w:rsid w:val="07E6312F"/>
    <w:rsid w:val="087E66B1"/>
    <w:rsid w:val="098E6D32"/>
    <w:rsid w:val="0A1641A0"/>
    <w:rsid w:val="0A546A76"/>
    <w:rsid w:val="0A6071C9"/>
    <w:rsid w:val="0B5D41A3"/>
    <w:rsid w:val="0DB241E0"/>
    <w:rsid w:val="0DB8731C"/>
    <w:rsid w:val="0DEC7791"/>
    <w:rsid w:val="0FAF6D03"/>
    <w:rsid w:val="111C12C5"/>
    <w:rsid w:val="134A21C3"/>
    <w:rsid w:val="14151024"/>
    <w:rsid w:val="143B7BD3"/>
    <w:rsid w:val="14423DE3"/>
    <w:rsid w:val="1726179A"/>
    <w:rsid w:val="18475E6C"/>
    <w:rsid w:val="18567E5D"/>
    <w:rsid w:val="190855FC"/>
    <w:rsid w:val="1A320444"/>
    <w:rsid w:val="1B031E6E"/>
    <w:rsid w:val="1D39079C"/>
    <w:rsid w:val="1E067C30"/>
    <w:rsid w:val="1F027AE6"/>
    <w:rsid w:val="1F130856"/>
    <w:rsid w:val="1F9F22E4"/>
    <w:rsid w:val="20AC4ABE"/>
    <w:rsid w:val="214E5B76"/>
    <w:rsid w:val="21F04E7F"/>
    <w:rsid w:val="22643966"/>
    <w:rsid w:val="231A0405"/>
    <w:rsid w:val="23867849"/>
    <w:rsid w:val="244B45EE"/>
    <w:rsid w:val="2480073C"/>
    <w:rsid w:val="24B77ED6"/>
    <w:rsid w:val="250674D1"/>
    <w:rsid w:val="253B2AE5"/>
    <w:rsid w:val="25A55F80"/>
    <w:rsid w:val="26FC6074"/>
    <w:rsid w:val="27BA6268"/>
    <w:rsid w:val="281C69CE"/>
    <w:rsid w:val="28F45255"/>
    <w:rsid w:val="293B7327"/>
    <w:rsid w:val="29634188"/>
    <w:rsid w:val="29B33362"/>
    <w:rsid w:val="29C25353"/>
    <w:rsid w:val="2A73489F"/>
    <w:rsid w:val="2B4560DF"/>
    <w:rsid w:val="2CA156F3"/>
    <w:rsid w:val="2CB35427"/>
    <w:rsid w:val="2CF17F62"/>
    <w:rsid w:val="2D0179F9"/>
    <w:rsid w:val="2DBA2F11"/>
    <w:rsid w:val="2DFB45F8"/>
    <w:rsid w:val="2E693FEF"/>
    <w:rsid w:val="2EE55965"/>
    <w:rsid w:val="2F2919D0"/>
    <w:rsid w:val="30986E0D"/>
    <w:rsid w:val="30F2476F"/>
    <w:rsid w:val="312608BD"/>
    <w:rsid w:val="353510CF"/>
    <w:rsid w:val="35F965A0"/>
    <w:rsid w:val="36962041"/>
    <w:rsid w:val="36ED77CB"/>
    <w:rsid w:val="3700570C"/>
    <w:rsid w:val="37CB5D1A"/>
    <w:rsid w:val="390019F4"/>
    <w:rsid w:val="39FE23D7"/>
    <w:rsid w:val="39FF3A59"/>
    <w:rsid w:val="3A2A31CC"/>
    <w:rsid w:val="3A3077CF"/>
    <w:rsid w:val="3B5E2A01"/>
    <w:rsid w:val="3BBB140A"/>
    <w:rsid w:val="3D840E45"/>
    <w:rsid w:val="3E6F1D1E"/>
    <w:rsid w:val="3FE060DB"/>
    <w:rsid w:val="429E4757"/>
    <w:rsid w:val="42EF4FB3"/>
    <w:rsid w:val="4346094B"/>
    <w:rsid w:val="43FD725B"/>
    <w:rsid w:val="462C490B"/>
    <w:rsid w:val="4707219F"/>
    <w:rsid w:val="47A069A8"/>
    <w:rsid w:val="481C26D0"/>
    <w:rsid w:val="48AE2468"/>
    <w:rsid w:val="49804BB7"/>
    <w:rsid w:val="4A361719"/>
    <w:rsid w:val="4B1A06F3"/>
    <w:rsid w:val="4C8F1C02"/>
    <w:rsid w:val="4D4C16B9"/>
    <w:rsid w:val="4DCB3F26"/>
    <w:rsid w:val="4E8642F1"/>
    <w:rsid w:val="4F310701"/>
    <w:rsid w:val="4FD317B8"/>
    <w:rsid w:val="51022355"/>
    <w:rsid w:val="51F65BB9"/>
    <w:rsid w:val="54940BF3"/>
    <w:rsid w:val="54EE554E"/>
    <w:rsid w:val="565E29AE"/>
    <w:rsid w:val="56ED7603"/>
    <w:rsid w:val="58B73A25"/>
    <w:rsid w:val="59636FE5"/>
    <w:rsid w:val="598002BB"/>
    <w:rsid w:val="5AE1255A"/>
    <w:rsid w:val="5D1020BF"/>
    <w:rsid w:val="5D4806FF"/>
    <w:rsid w:val="5D5F6439"/>
    <w:rsid w:val="5D72616D"/>
    <w:rsid w:val="5DAD3649"/>
    <w:rsid w:val="5E0E058B"/>
    <w:rsid w:val="60C43183"/>
    <w:rsid w:val="611063C8"/>
    <w:rsid w:val="62A212A2"/>
    <w:rsid w:val="6384309D"/>
    <w:rsid w:val="63C811DC"/>
    <w:rsid w:val="644C7C86"/>
    <w:rsid w:val="651638BD"/>
    <w:rsid w:val="692E6264"/>
    <w:rsid w:val="69981651"/>
    <w:rsid w:val="6A0171F6"/>
    <w:rsid w:val="6A246A40"/>
    <w:rsid w:val="6B5C220A"/>
    <w:rsid w:val="6B8754D9"/>
    <w:rsid w:val="6BCB6DE4"/>
    <w:rsid w:val="6CE55E74"/>
    <w:rsid w:val="6D45389E"/>
    <w:rsid w:val="6DC44768"/>
    <w:rsid w:val="6EA202EC"/>
    <w:rsid w:val="7189187F"/>
    <w:rsid w:val="71DE606F"/>
    <w:rsid w:val="728A2449"/>
    <w:rsid w:val="729A01E8"/>
    <w:rsid w:val="72B22828"/>
    <w:rsid w:val="74A909FA"/>
    <w:rsid w:val="74E474F8"/>
    <w:rsid w:val="75DA6B4D"/>
    <w:rsid w:val="76F31C74"/>
    <w:rsid w:val="77004391"/>
    <w:rsid w:val="77456248"/>
    <w:rsid w:val="77CB0E43"/>
    <w:rsid w:val="77D31AA6"/>
    <w:rsid w:val="797C680C"/>
    <w:rsid w:val="7984574E"/>
    <w:rsid w:val="7B234AF2"/>
    <w:rsid w:val="7C0D37D8"/>
    <w:rsid w:val="7C5533D1"/>
    <w:rsid w:val="7D801778"/>
    <w:rsid w:val="7E417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keepNext/>
      <w:keepLines/>
      <w:spacing w:before="50" w:beforeLines="50" w:after="50" w:afterLines="50" w:line="360" w:lineRule="auto"/>
      <w:ind w:firstLine="0"/>
      <w:outlineLvl w:val="0"/>
    </w:pPr>
    <w:rPr>
      <w:rFonts w:hAnsi="宋体" w:eastAsia="宋体"/>
      <w:b/>
      <w:spacing w:val="23"/>
      <w:kern w:val="44"/>
      <w:sz w:val="30"/>
      <w:szCs w:val="24"/>
    </w:rPr>
  </w:style>
  <w:style w:type="paragraph" w:styleId="3">
    <w:name w:val="heading 2"/>
    <w:basedOn w:val="1"/>
    <w:next w:val="1"/>
    <w:autoRedefine/>
    <w:qFormat/>
    <w:uiPriority w:val="0"/>
    <w:pPr>
      <w:keepNext/>
      <w:keepLines/>
      <w:numPr>
        <w:ilvl w:val="0"/>
        <w:numId w:val="0"/>
      </w:numPr>
      <w:spacing w:before="50" w:beforeLines="50" w:after="50" w:afterLines="50"/>
      <w:outlineLvl w:val="1"/>
    </w:pPr>
    <w:rPr>
      <w:rFonts w:ascii="Arial" w:hAnsi="Arial" w:eastAsia="宋体"/>
      <w:b/>
      <w:sz w:val="28"/>
    </w:rPr>
  </w:style>
  <w:style w:type="paragraph" w:styleId="4">
    <w:name w:val="heading 3"/>
    <w:basedOn w:val="1"/>
    <w:next w:val="1"/>
    <w:autoRedefine/>
    <w:qFormat/>
    <w:uiPriority w:val="0"/>
    <w:pPr>
      <w:keepNext/>
      <w:keepLines/>
      <w:autoSpaceDE/>
      <w:autoSpaceDN/>
      <w:spacing w:line="360" w:lineRule="auto"/>
      <w:ind w:firstLine="963" w:firstLineChars="200"/>
      <w:textAlignment w:val="baseline"/>
      <w:outlineLvl w:val="2"/>
    </w:pPr>
    <w:rPr>
      <w:rFonts w:ascii="Times New Roman" w:hAnsi="Times New Roman" w:eastAsia="宋体"/>
      <w:b/>
      <w:spacing w:val="0"/>
      <w:sz w:val="24"/>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1"/>
    <w:autoRedefine/>
    <w:qFormat/>
    <w:uiPriority w:val="0"/>
    <w:pPr>
      <w:ind w:firstLine="420"/>
    </w:pPr>
  </w:style>
  <w:style w:type="paragraph" w:styleId="6">
    <w:name w:val="Body Text"/>
    <w:basedOn w:val="1"/>
    <w:autoRedefine/>
    <w:qFormat/>
    <w:uiPriority w:val="0"/>
    <w:pPr>
      <w:ind w:firstLine="0"/>
      <w:jc w:val="both"/>
    </w:pPr>
    <w:rPr>
      <w:spacing w:val="10"/>
    </w:rPr>
  </w:style>
  <w:style w:type="paragraph" w:styleId="7">
    <w:name w:val="Body Text Indent"/>
    <w:basedOn w:val="1"/>
    <w:uiPriority w:val="0"/>
    <w:pPr>
      <w:ind w:left="6"/>
    </w:pPr>
  </w:style>
  <w:style w:type="paragraph" w:styleId="8">
    <w:name w:val="Balloon Text"/>
    <w:basedOn w:val="1"/>
    <w:link w:val="18"/>
    <w:autoRedefine/>
    <w:semiHidden/>
    <w:unhideWhenUsed/>
    <w:qFormat/>
    <w:uiPriority w:val="99"/>
    <w:rPr>
      <w:sz w:val="18"/>
      <w:szCs w:val="18"/>
    </w:rPr>
  </w:style>
  <w:style w:type="paragraph" w:styleId="9">
    <w:name w:val="footer"/>
    <w:basedOn w:val="1"/>
    <w:link w:val="17"/>
    <w:autoRedefine/>
    <w:semiHidden/>
    <w:unhideWhenUsed/>
    <w:qFormat/>
    <w:uiPriority w:val="99"/>
    <w:pPr>
      <w:tabs>
        <w:tab w:val="center" w:pos="4153"/>
        <w:tab w:val="right" w:pos="8306"/>
      </w:tabs>
      <w:snapToGrid w:val="0"/>
      <w:jc w:val="left"/>
    </w:pPr>
    <w:rPr>
      <w:sz w:val="18"/>
      <w:szCs w:val="18"/>
    </w:rPr>
  </w:style>
  <w:style w:type="paragraph" w:styleId="10">
    <w:name w:val="header"/>
    <w:basedOn w:val="1"/>
    <w:link w:val="1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First Indent"/>
    <w:basedOn w:val="6"/>
    <w:autoRedefine/>
    <w:qFormat/>
    <w:uiPriority w:val="0"/>
    <w:pPr>
      <w:spacing w:after="120"/>
      <w:ind w:firstLine="420" w:firstLineChars="100"/>
      <w:jc w:val="left"/>
    </w:pPr>
    <w:rPr>
      <w:spacing w:val="20"/>
    </w:rPr>
  </w:style>
  <w:style w:type="paragraph" w:styleId="12">
    <w:name w:val="Body Text First Indent 2"/>
    <w:basedOn w:val="7"/>
    <w:qFormat/>
    <w:uiPriority w:val="0"/>
    <w:pPr>
      <w:ind w:firstLine="420" w:firstLineChars="200"/>
    </w:pPr>
    <w:rPr>
      <w:rFonts w:cs="Times New Roman"/>
    </w:rPr>
  </w:style>
  <w:style w:type="table" w:styleId="14">
    <w:name w:val="Table Grid"/>
    <w:basedOn w:val="13"/>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Char"/>
    <w:basedOn w:val="15"/>
    <w:link w:val="10"/>
    <w:autoRedefine/>
    <w:semiHidden/>
    <w:qFormat/>
    <w:uiPriority w:val="99"/>
    <w:rPr>
      <w:sz w:val="18"/>
      <w:szCs w:val="18"/>
    </w:rPr>
  </w:style>
  <w:style w:type="character" w:customStyle="1" w:styleId="17">
    <w:name w:val="页脚 Char"/>
    <w:basedOn w:val="15"/>
    <w:link w:val="9"/>
    <w:autoRedefine/>
    <w:semiHidden/>
    <w:qFormat/>
    <w:uiPriority w:val="99"/>
    <w:rPr>
      <w:sz w:val="18"/>
      <w:szCs w:val="18"/>
    </w:rPr>
  </w:style>
  <w:style w:type="character" w:customStyle="1" w:styleId="18">
    <w:name w:val="批注框文本 Char"/>
    <w:basedOn w:val="15"/>
    <w:link w:val="8"/>
    <w:autoRedefine/>
    <w:semiHidden/>
    <w:qFormat/>
    <w:uiPriority w:val="99"/>
    <w:rPr>
      <w:sz w:val="18"/>
      <w:szCs w:val="18"/>
    </w:rPr>
  </w:style>
  <w:style w:type="paragraph" w:customStyle="1" w:styleId="19">
    <w:name w:val="样式 首行缩进:  2 字符"/>
    <w:basedOn w:val="1"/>
    <w:autoRedefine/>
    <w:qFormat/>
    <w:uiPriority w:val="0"/>
    <w:pPr>
      <w:ind w:firstLine="480"/>
    </w:pPr>
    <w:rPr>
      <w:rFonts w:cs="宋体"/>
      <w:szCs w:val="20"/>
    </w:rPr>
  </w:style>
  <w:style w:type="paragraph" w:customStyle="1" w:styleId="20">
    <w:name w:val="Table Paragraph"/>
    <w:basedOn w:val="1"/>
    <w:autoRedefine/>
    <w:qFormat/>
    <w:uiPriority w:val="0"/>
    <w:pPr>
      <w:autoSpaceDE w:val="0"/>
      <w:autoSpaceDN w:val="0"/>
      <w:adjustRightInd/>
      <w:snapToGrid/>
      <w:spacing w:line="240" w:lineRule="auto"/>
      <w:ind w:firstLine="0" w:firstLineChars="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www.msdn123.com</Company>
  <Pages>6</Pages>
  <Words>5488</Words>
  <Characters>6502</Characters>
  <Lines>1</Lines>
  <Paragraphs>1</Paragraphs>
  <TotalTime>1</TotalTime>
  <ScaleCrop>false</ScaleCrop>
  <LinksUpToDate>false</LinksUpToDate>
  <CharactersWithSpaces>6565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2023-08-14T11:21:00Z</dcterms:created>
  <dc:creator>微软中国</dc:creator>
  <cp:lastModifiedBy>小沫沫</cp:lastModifiedBy>
  <cp:lastPrinted>2025-08-18T03:42:35Z</cp:lastPrinted>
  <dcterms:modified xsi:type="dcterms:W3CDTF">2025-08-18T03:43:01Z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0C0F1505138249C38C175A9B855824E6_12</vt:lpwstr>
  </property>
  <property fmtid="{D5CDD505-2E9C-101B-9397-08002B2CF9AE}" pid="4" name="KSOTemplateDocerSaveRecord">
    <vt:lpwstr>eyJoZGlkIjoiYzNmZDQ5ZTUxMWVmYzBlN2UzMWNiMWY3MjIyMDBkMzkiLCJ1c2VySWQiOiIzMjcyNDU3MTMifQ==</vt:lpwstr>
  </property>
</Properties>
</file>